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A3A7" w14:textId="793F8B3D" w:rsidR="00537F01" w:rsidRPr="00827F98" w:rsidRDefault="00A82566" w:rsidP="009A2E65">
      <w:pPr>
        <w:pStyle w:val="BodyText"/>
        <w:widowControl/>
        <w:ind w:left="0"/>
        <w:jc w:val="right"/>
        <w:rPr>
          <w:rFonts w:asciiTheme="majorHAnsi" w:eastAsia="Times New Roman" w:hAnsiTheme="majorHAnsi" w:cs="Times New Roman"/>
          <w:sz w:val="36"/>
          <w:szCs w:val="36"/>
        </w:rPr>
      </w:pPr>
      <w:r>
        <w:rPr>
          <w:rFonts w:asciiTheme="majorHAnsi" w:hAnsiTheme="majorHAnsi"/>
          <w:sz w:val="36"/>
          <w:szCs w:val="36"/>
        </w:rPr>
        <w:t>ANSI/</w:t>
      </w:r>
      <w:r w:rsidR="00863ED9" w:rsidRPr="00827F98">
        <w:rPr>
          <w:rFonts w:asciiTheme="majorHAnsi" w:hAnsiTheme="majorHAnsi"/>
          <w:sz w:val="36"/>
          <w:szCs w:val="36"/>
        </w:rPr>
        <w:t xml:space="preserve">ASB </w:t>
      </w:r>
      <w:r w:rsidR="00334E61" w:rsidRPr="00827F98">
        <w:rPr>
          <w:rFonts w:asciiTheme="majorHAnsi" w:hAnsiTheme="majorHAnsi"/>
          <w:sz w:val="36"/>
          <w:szCs w:val="36"/>
        </w:rPr>
        <w:t>Standard 0</w:t>
      </w:r>
      <w:r w:rsidR="00863ED9" w:rsidRPr="00827F98">
        <w:rPr>
          <w:rFonts w:asciiTheme="majorHAnsi" w:hAnsiTheme="majorHAnsi"/>
          <w:sz w:val="36"/>
          <w:szCs w:val="36"/>
        </w:rPr>
        <w:t xml:space="preserve">17, </w:t>
      </w:r>
      <w:r w:rsidR="00FC14FA" w:rsidRPr="00827F98">
        <w:rPr>
          <w:rFonts w:asciiTheme="majorHAnsi" w:hAnsiTheme="majorHAnsi"/>
          <w:sz w:val="36"/>
          <w:szCs w:val="36"/>
        </w:rPr>
        <w:t>First</w:t>
      </w:r>
      <w:r w:rsidR="00863ED9" w:rsidRPr="00827F98">
        <w:rPr>
          <w:rFonts w:asciiTheme="majorHAnsi" w:hAnsiTheme="majorHAnsi"/>
          <w:sz w:val="36"/>
          <w:szCs w:val="36"/>
        </w:rPr>
        <w:t xml:space="preserve"> Edition</w:t>
      </w:r>
    </w:p>
    <w:p w14:paraId="7BD32D3C" w14:textId="282BDBF1" w:rsidR="00537F01" w:rsidRPr="00827F98" w:rsidRDefault="00334E61" w:rsidP="009A2E65">
      <w:pPr>
        <w:pStyle w:val="BodyText"/>
        <w:widowControl/>
        <w:spacing w:after="480"/>
        <w:ind w:left="0"/>
        <w:jc w:val="right"/>
        <w:rPr>
          <w:rFonts w:asciiTheme="majorHAnsi" w:eastAsia="Times New Roman" w:hAnsiTheme="majorHAnsi" w:cs="Times New Roman"/>
          <w:sz w:val="36"/>
          <w:szCs w:val="36"/>
        </w:rPr>
      </w:pPr>
      <w:r w:rsidRPr="00827F98">
        <w:rPr>
          <w:rFonts w:asciiTheme="majorHAnsi" w:hAnsiTheme="majorHAnsi"/>
          <w:sz w:val="36"/>
          <w:szCs w:val="36"/>
        </w:rPr>
        <w:t>201</w:t>
      </w:r>
      <w:r w:rsidR="004131FB">
        <w:rPr>
          <w:rFonts w:asciiTheme="majorHAnsi" w:hAnsiTheme="majorHAnsi"/>
          <w:sz w:val="36"/>
          <w:szCs w:val="36"/>
        </w:rPr>
        <w:t>8</w:t>
      </w:r>
    </w:p>
    <w:p w14:paraId="1AB6C979" w14:textId="77777777" w:rsidR="00FA7F61" w:rsidRDefault="00FA7F61" w:rsidP="009A2E65">
      <w:pPr>
        <w:widowControl/>
        <w:spacing w:after="240"/>
        <w:ind w:left="421"/>
        <w:jc w:val="center"/>
        <w:rPr>
          <w:rFonts w:asciiTheme="majorHAnsi" w:hAnsiTheme="majorHAnsi"/>
          <w:b/>
          <w:sz w:val="36"/>
          <w:szCs w:val="36"/>
        </w:rPr>
      </w:pPr>
    </w:p>
    <w:p w14:paraId="6F7B4264" w14:textId="45E26E85" w:rsidR="00537F01" w:rsidRPr="00827F98" w:rsidRDefault="00334E61" w:rsidP="009A2E65">
      <w:pPr>
        <w:widowControl/>
        <w:spacing w:after="240"/>
        <w:ind w:left="421"/>
        <w:jc w:val="center"/>
        <w:rPr>
          <w:rFonts w:asciiTheme="majorHAnsi" w:hAnsiTheme="majorHAnsi"/>
          <w:b/>
          <w:sz w:val="36"/>
          <w:szCs w:val="36"/>
        </w:rPr>
      </w:pPr>
      <w:r w:rsidRPr="00827F98">
        <w:rPr>
          <w:rFonts w:asciiTheme="majorHAnsi" w:hAnsiTheme="majorHAnsi"/>
          <w:b/>
          <w:sz w:val="36"/>
          <w:szCs w:val="36"/>
        </w:rPr>
        <w:t>Standard Practices for Measurement Traceability in Forensic Toxicology</w:t>
      </w:r>
    </w:p>
    <w:p w14:paraId="66AEF03C" w14:textId="77777777" w:rsidR="00FC14FA" w:rsidRPr="00827F98" w:rsidRDefault="00FC14FA" w:rsidP="009A2E65">
      <w:pPr>
        <w:widowControl/>
        <w:spacing w:after="240"/>
        <w:ind w:left="421"/>
        <w:jc w:val="center"/>
        <w:rPr>
          <w:rFonts w:asciiTheme="majorHAnsi" w:hAnsiTheme="majorHAnsi"/>
          <w:b/>
          <w:sz w:val="36"/>
          <w:szCs w:val="36"/>
        </w:rPr>
      </w:pPr>
    </w:p>
    <w:p w14:paraId="60431C04" w14:textId="77777777" w:rsidR="00FC14FA" w:rsidRPr="00827F98" w:rsidRDefault="00FC14FA" w:rsidP="009A2E65">
      <w:pPr>
        <w:widowControl/>
        <w:spacing w:after="240"/>
        <w:ind w:left="421"/>
        <w:jc w:val="center"/>
        <w:rPr>
          <w:rFonts w:asciiTheme="majorHAnsi" w:hAnsiTheme="majorHAnsi"/>
          <w:b/>
          <w:sz w:val="36"/>
          <w:szCs w:val="36"/>
        </w:rPr>
      </w:pPr>
    </w:p>
    <w:p w14:paraId="0996A6B7" w14:textId="77777777" w:rsidR="00FC14FA" w:rsidRPr="00827F98" w:rsidRDefault="00FC14FA" w:rsidP="009A2E65">
      <w:pPr>
        <w:widowControl/>
        <w:spacing w:after="240"/>
        <w:ind w:left="421"/>
        <w:jc w:val="center"/>
        <w:rPr>
          <w:rFonts w:asciiTheme="majorHAnsi" w:hAnsiTheme="majorHAnsi"/>
          <w:b/>
          <w:sz w:val="36"/>
          <w:szCs w:val="36"/>
        </w:rPr>
      </w:pPr>
    </w:p>
    <w:p w14:paraId="7386651D" w14:textId="77777777" w:rsidR="00FC14FA" w:rsidRPr="00827F98" w:rsidRDefault="00FC14FA" w:rsidP="009A2E65">
      <w:pPr>
        <w:widowControl/>
        <w:spacing w:after="240"/>
        <w:ind w:left="421"/>
        <w:jc w:val="center"/>
        <w:rPr>
          <w:rFonts w:asciiTheme="majorHAnsi" w:hAnsiTheme="majorHAnsi"/>
          <w:b/>
          <w:sz w:val="36"/>
          <w:szCs w:val="36"/>
        </w:rPr>
      </w:pPr>
    </w:p>
    <w:p w14:paraId="05E1F0F1" w14:textId="77777777" w:rsidR="00FC14FA" w:rsidRPr="00827F98" w:rsidRDefault="00FC14FA" w:rsidP="009A2E65">
      <w:pPr>
        <w:widowControl/>
        <w:spacing w:after="240"/>
        <w:ind w:left="421"/>
        <w:jc w:val="center"/>
        <w:rPr>
          <w:rFonts w:asciiTheme="majorHAnsi" w:hAnsiTheme="majorHAnsi"/>
          <w:b/>
          <w:sz w:val="36"/>
          <w:szCs w:val="36"/>
        </w:rPr>
      </w:pPr>
    </w:p>
    <w:p w14:paraId="47E4F424" w14:textId="77777777" w:rsidR="00FC14FA" w:rsidRPr="00827F98" w:rsidRDefault="00FC14FA" w:rsidP="009A2E65">
      <w:pPr>
        <w:widowControl/>
        <w:spacing w:after="240"/>
        <w:ind w:left="421"/>
        <w:jc w:val="center"/>
        <w:rPr>
          <w:rFonts w:asciiTheme="majorHAnsi" w:hAnsiTheme="majorHAnsi"/>
          <w:b/>
          <w:sz w:val="36"/>
          <w:szCs w:val="36"/>
        </w:rPr>
      </w:pPr>
    </w:p>
    <w:p w14:paraId="3576D176" w14:textId="77777777" w:rsidR="00FC14FA" w:rsidRPr="00827F98" w:rsidRDefault="00FC14FA" w:rsidP="009A2E65">
      <w:pPr>
        <w:widowControl/>
        <w:spacing w:after="240"/>
        <w:ind w:left="421"/>
        <w:jc w:val="center"/>
        <w:rPr>
          <w:rFonts w:asciiTheme="majorHAnsi" w:hAnsiTheme="majorHAnsi"/>
          <w:b/>
          <w:sz w:val="36"/>
          <w:szCs w:val="36"/>
        </w:rPr>
      </w:pPr>
    </w:p>
    <w:p w14:paraId="2A4E612D" w14:textId="77777777" w:rsidR="00FC14FA" w:rsidRPr="00827F98" w:rsidRDefault="00FC14FA" w:rsidP="009A2E65">
      <w:pPr>
        <w:widowControl/>
        <w:spacing w:after="240"/>
        <w:ind w:left="421"/>
        <w:jc w:val="center"/>
        <w:rPr>
          <w:rFonts w:asciiTheme="majorHAnsi" w:hAnsiTheme="majorHAnsi"/>
          <w:b/>
          <w:sz w:val="36"/>
          <w:szCs w:val="36"/>
        </w:rPr>
      </w:pPr>
    </w:p>
    <w:p w14:paraId="1BF2D5DD" w14:textId="77777777" w:rsidR="00FC14FA" w:rsidRPr="00827F98" w:rsidRDefault="00FC14FA" w:rsidP="009A2E65">
      <w:pPr>
        <w:widowControl/>
        <w:spacing w:after="240"/>
        <w:ind w:left="421"/>
        <w:jc w:val="center"/>
        <w:rPr>
          <w:rFonts w:asciiTheme="majorHAnsi" w:hAnsiTheme="majorHAnsi"/>
          <w:b/>
          <w:sz w:val="36"/>
          <w:szCs w:val="36"/>
        </w:rPr>
      </w:pPr>
    </w:p>
    <w:p w14:paraId="6E2C1893" w14:textId="77777777" w:rsidR="00FC14FA" w:rsidRPr="00827F98" w:rsidRDefault="00FC14FA" w:rsidP="009A2E65">
      <w:pPr>
        <w:widowControl/>
        <w:spacing w:after="240"/>
        <w:ind w:left="421"/>
        <w:jc w:val="center"/>
        <w:rPr>
          <w:rFonts w:asciiTheme="majorHAnsi" w:hAnsiTheme="majorHAnsi"/>
          <w:b/>
          <w:sz w:val="36"/>
          <w:szCs w:val="36"/>
        </w:rPr>
      </w:pPr>
    </w:p>
    <w:p w14:paraId="2CB7B75D" w14:textId="77777777" w:rsidR="00FC14FA" w:rsidRPr="00827F98" w:rsidRDefault="00FC14FA" w:rsidP="009A2E65">
      <w:pPr>
        <w:widowControl/>
        <w:spacing w:after="240"/>
        <w:ind w:left="421"/>
        <w:jc w:val="center"/>
        <w:rPr>
          <w:rFonts w:asciiTheme="majorHAnsi" w:hAnsiTheme="majorHAnsi"/>
          <w:b/>
          <w:sz w:val="36"/>
          <w:szCs w:val="36"/>
        </w:rPr>
      </w:pPr>
    </w:p>
    <w:p w14:paraId="1F023D49" w14:textId="77777777" w:rsidR="00FC14FA" w:rsidRPr="00827F98" w:rsidRDefault="00FC14FA" w:rsidP="009A2E65">
      <w:pPr>
        <w:widowControl/>
        <w:spacing w:after="240"/>
        <w:ind w:left="421"/>
        <w:jc w:val="center"/>
        <w:rPr>
          <w:rFonts w:asciiTheme="majorHAnsi" w:hAnsiTheme="majorHAnsi"/>
          <w:b/>
          <w:sz w:val="36"/>
          <w:szCs w:val="36"/>
        </w:rPr>
      </w:pPr>
    </w:p>
    <w:p w14:paraId="2A0927BB" w14:textId="77777777" w:rsidR="00A82566" w:rsidRDefault="00A82566" w:rsidP="00A82566">
      <w:pPr>
        <w:tabs>
          <w:tab w:val="right" w:pos="9360"/>
        </w:tabs>
      </w:pPr>
      <w:r>
        <w:rPr>
          <w:noProof/>
          <w:sz w:val="36"/>
          <w:szCs w:val="36"/>
        </w:rPr>
        <w:drawing>
          <wp:anchor distT="0" distB="0" distL="114300" distR="114300" simplePos="0" relativeHeight="251659264" behindDoc="0" locked="0" layoutInCell="1" allowOverlap="1" wp14:anchorId="3C45F93D" wp14:editId="744BD071">
            <wp:simplePos x="914400" y="8023860"/>
            <wp:positionH relativeFrom="column">
              <wp:align>left</wp:align>
            </wp:positionH>
            <wp:positionV relativeFrom="paragraph">
              <wp:align>top</wp:align>
            </wp:positionV>
            <wp:extent cx="1676400" cy="869373"/>
            <wp:effectExtent l="0" t="0" r="0" b="6985"/>
            <wp:wrapSquare wrapText="bothSides"/>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cstate="print">
                      <a:extLst>
                        <a:ext uri="{28A0092B-C50C-407E-A947-70E740481C1C}">
                          <a14:useLocalDpi xmlns:a14="http://schemas.microsoft.com/office/drawing/2010/main" val="0"/>
                        </a:ext>
                      </a:extLst>
                    </a:blip>
                    <a:srcRect l="24009" t="20823" r="19580" b="40171"/>
                    <a:stretch>
                      <a:fillRect/>
                    </a:stretch>
                  </pic:blipFill>
                  <pic:spPr>
                    <a:xfrm>
                      <a:off x="0" y="0"/>
                      <a:ext cx="1676400" cy="869373"/>
                    </a:xfrm>
                    <a:prstGeom prst="rect">
                      <a:avLst/>
                    </a:prstGeom>
                    <a:ln/>
                  </pic:spPr>
                </pic:pic>
              </a:graphicData>
            </a:graphic>
          </wp:anchor>
        </w:drawing>
      </w:r>
      <w:r>
        <w:t xml:space="preserve"> </w:t>
      </w:r>
      <w:r>
        <w:tab/>
      </w:r>
      <w:r>
        <w:rPr>
          <w:noProof/>
        </w:rPr>
        <w:drawing>
          <wp:inline distT="0" distB="0" distL="0" distR="0" wp14:anchorId="7A2465EB" wp14:editId="6166D205">
            <wp:extent cx="1356360" cy="86841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proved_ANS_black_cmyk.jpg"/>
                    <pic:cNvPicPr/>
                  </pic:nvPicPr>
                  <pic:blipFill rotWithShape="1">
                    <a:blip r:embed="rId12" cstate="print">
                      <a:extLst>
                        <a:ext uri="{28A0092B-C50C-407E-A947-70E740481C1C}">
                          <a14:useLocalDpi xmlns:a14="http://schemas.microsoft.com/office/drawing/2010/main" val="0"/>
                        </a:ext>
                      </a:extLst>
                    </a:blip>
                    <a:srcRect l="10654" t="10332" r="10648" b="9300"/>
                    <a:stretch/>
                  </pic:blipFill>
                  <pic:spPr bwMode="auto">
                    <a:xfrm>
                      <a:off x="0" y="0"/>
                      <a:ext cx="1356779" cy="868680"/>
                    </a:xfrm>
                    <a:prstGeom prst="rect">
                      <a:avLst/>
                    </a:prstGeom>
                    <a:ln>
                      <a:noFill/>
                    </a:ln>
                    <a:extLst>
                      <a:ext uri="{53640926-AAD7-44D8-BBD7-CCE9431645EC}">
                        <a14:shadowObscured xmlns:a14="http://schemas.microsoft.com/office/drawing/2010/main"/>
                      </a:ext>
                    </a:extLst>
                  </pic:spPr>
                </pic:pic>
              </a:graphicData>
            </a:graphic>
          </wp:inline>
        </w:drawing>
      </w:r>
    </w:p>
    <w:p w14:paraId="510F68E6" w14:textId="00793564" w:rsidR="00B6539B" w:rsidRDefault="00B6539B" w:rsidP="00B6539B">
      <w:pPr>
        <w:widowControl/>
        <w:spacing w:after="240"/>
        <w:ind w:left="421"/>
        <w:rPr>
          <w:rFonts w:asciiTheme="majorHAnsi" w:eastAsia="Cambria" w:hAnsiTheme="majorHAnsi" w:cs="Cambria"/>
          <w:sz w:val="36"/>
          <w:szCs w:val="36"/>
        </w:rPr>
      </w:pPr>
      <w:r>
        <w:rPr>
          <w:rFonts w:asciiTheme="majorHAnsi" w:eastAsia="Cambria" w:hAnsiTheme="majorHAnsi" w:cs="Cambria"/>
          <w:sz w:val="36"/>
          <w:szCs w:val="36"/>
        </w:rPr>
        <w:br w:type="page"/>
      </w:r>
    </w:p>
    <w:p w14:paraId="037EDEDC" w14:textId="28FE9395" w:rsidR="00537F01" w:rsidRPr="00827F98" w:rsidRDefault="00334E61" w:rsidP="009A2E65">
      <w:pPr>
        <w:widowControl/>
        <w:spacing w:after="240"/>
        <w:ind w:left="787"/>
        <w:jc w:val="center"/>
        <w:rPr>
          <w:rFonts w:asciiTheme="majorHAnsi" w:eastAsia="Cambria" w:hAnsiTheme="majorHAnsi" w:cs="Cambria"/>
          <w:sz w:val="28"/>
          <w:szCs w:val="28"/>
        </w:rPr>
      </w:pPr>
      <w:r w:rsidRPr="00827F98">
        <w:rPr>
          <w:rFonts w:asciiTheme="majorHAnsi" w:hAnsiTheme="majorHAnsi"/>
          <w:b/>
          <w:sz w:val="28"/>
          <w:szCs w:val="28"/>
        </w:rPr>
        <w:lastRenderedPageBreak/>
        <w:t xml:space="preserve">Standard Practices for Measurement Traceability in </w:t>
      </w:r>
      <w:r w:rsidR="00FA7F61">
        <w:rPr>
          <w:rFonts w:asciiTheme="majorHAnsi" w:hAnsiTheme="majorHAnsi"/>
          <w:b/>
          <w:sz w:val="28"/>
          <w:szCs w:val="28"/>
        </w:rPr>
        <w:br/>
      </w:r>
      <w:r w:rsidRPr="00827F98">
        <w:rPr>
          <w:rFonts w:asciiTheme="majorHAnsi" w:hAnsiTheme="majorHAnsi"/>
          <w:b/>
          <w:sz w:val="28"/>
          <w:szCs w:val="28"/>
        </w:rPr>
        <w:t>Forensic Toxicology</w:t>
      </w:r>
    </w:p>
    <w:p w14:paraId="27888CFF" w14:textId="6AE6FDDA" w:rsidR="00B6539B" w:rsidRDefault="004131FB" w:rsidP="00B6539B">
      <w:pPr>
        <w:spacing w:after="240"/>
        <w:jc w:val="center"/>
        <w:rPr>
          <w:rFonts w:ascii="Cambria" w:hAnsi="Cambria"/>
          <w:sz w:val="28"/>
          <w:szCs w:val="28"/>
        </w:rPr>
      </w:pPr>
      <w:r>
        <w:rPr>
          <w:rFonts w:ascii="Cambria" w:hAnsi="Cambria"/>
          <w:sz w:val="28"/>
          <w:szCs w:val="28"/>
        </w:rPr>
        <w:t xml:space="preserve">ASB Approved </w:t>
      </w:r>
      <w:r w:rsidR="00A82566">
        <w:rPr>
          <w:rFonts w:ascii="Cambria" w:hAnsi="Cambria"/>
          <w:sz w:val="28"/>
          <w:szCs w:val="28"/>
        </w:rPr>
        <w:t>February</w:t>
      </w:r>
      <w:r>
        <w:rPr>
          <w:rFonts w:ascii="Cambria" w:hAnsi="Cambria"/>
          <w:sz w:val="28"/>
          <w:szCs w:val="28"/>
        </w:rPr>
        <w:t xml:space="preserve"> 2018</w:t>
      </w:r>
    </w:p>
    <w:p w14:paraId="3C95D459" w14:textId="7D4D5258" w:rsidR="00B6539B" w:rsidRPr="00217514" w:rsidRDefault="004131FB" w:rsidP="00B6539B">
      <w:pPr>
        <w:spacing w:after="240"/>
        <w:jc w:val="center"/>
        <w:rPr>
          <w:rFonts w:ascii="Cambria" w:hAnsi="Cambria"/>
          <w:sz w:val="28"/>
          <w:szCs w:val="28"/>
        </w:rPr>
      </w:pPr>
      <w:r>
        <w:rPr>
          <w:rFonts w:ascii="Cambria" w:hAnsi="Cambria"/>
          <w:sz w:val="28"/>
          <w:szCs w:val="28"/>
        </w:rPr>
        <w:t xml:space="preserve">ANSI Approved </w:t>
      </w:r>
      <w:r w:rsidR="00A82566">
        <w:rPr>
          <w:rFonts w:ascii="Cambria" w:hAnsi="Cambria"/>
          <w:sz w:val="28"/>
          <w:szCs w:val="28"/>
        </w:rPr>
        <w:t>June</w:t>
      </w:r>
      <w:r>
        <w:rPr>
          <w:rFonts w:ascii="Cambria" w:hAnsi="Cambria"/>
          <w:sz w:val="28"/>
          <w:szCs w:val="28"/>
        </w:rPr>
        <w:t xml:space="preserve"> 2018</w:t>
      </w:r>
    </w:p>
    <w:p w14:paraId="5B003FA2" w14:textId="77777777" w:rsidR="00B6539B" w:rsidRPr="00217514" w:rsidRDefault="00B6539B" w:rsidP="00B6539B">
      <w:pPr>
        <w:tabs>
          <w:tab w:val="right" w:pos="9360"/>
        </w:tabs>
        <w:spacing w:after="240"/>
        <w:jc w:val="center"/>
        <w:rPr>
          <w:rFonts w:ascii="Cambria" w:hAnsi="Cambria"/>
          <w:sz w:val="36"/>
          <w:szCs w:val="36"/>
        </w:rPr>
      </w:pPr>
      <w:r w:rsidRPr="00217514">
        <w:rPr>
          <w:rFonts w:ascii="Cambria" w:hAnsi="Cambria"/>
          <w:noProof/>
          <w:sz w:val="36"/>
          <w:szCs w:val="36"/>
        </w:rPr>
        <w:drawing>
          <wp:inline distT="0" distB="0" distL="0" distR="0" wp14:anchorId="796F0B74" wp14:editId="43782C64">
            <wp:extent cx="1468582" cy="76160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B Logo New (800x600).png"/>
                    <pic:cNvPicPr/>
                  </pic:nvPicPr>
                  <pic:blipFill rotWithShape="1">
                    <a:blip r:embed="rId13" cstate="print">
                      <a:extLst>
                        <a:ext uri="{28A0092B-C50C-407E-A947-70E740481C1C}">
                          <a14:useLocalDpi xmlns:a14="http://schemas.microsoft.com/office/drawing/2010/main" val="0"/>
                        </a:ext>
                      </a:extLst>
                    </a:blip>
                    <a:srcRect l="24009" t="20823" r="19581" b="40171"/>
                    <a:stretch/>
                  </pic:blipFill>
                  <pic:spPr bwMode="auto">
                    <a:xfrm>
                      <a:off x="0" y="0"/>
                      <a:ext cx="1468582" cy="761600"/>
                    </a:xfrm>
                    <a:prstGeom prst="rect">
                      <a:avLst/>
                    </a:prstGeom>
                    <a:ln>
                      <a:noFill/>
                    </a:ln>
                    <a:extLst>
                      <a:ext uri="{53640926-AAD7-44D8-BBD7-CCE9431645EC}">
                        <a14:shadowObscured xmlns:a14="http://schemas.microsoft.com/office/drawing/2010/main"/>
                      </a:ext>
                    </a:extLst>
                  </pic:spPr>
                </pic:pic>
              </a:graphicData>
            </a:graphic>
          </wp:inline>
        </w:drawing>
      </w:r>
    </w:p>
    <w:p w14:paraId="76FA44CF" w14:textId="77777777" w:rsidR="004131FB" w:rsidRPr="008F2FC7" w:rsidRDefault="004131FB" w:rsidP="004131FB">
      <w:pPr>
        <w:spacing w:after="240"/>
        <w:jc w:val="center"/>
        <w:rPr>
          <w:rFonts w:asciiTheme="majorHAnsi" w:hAnsiTheme="majorHAnsi"/>
          <w:sz w:val="28"/>
          <w:szCs w:val="28"/>
        </w:rPr>
      </w:pPr>
      <w:r w:rsidRPr="00584BDA">
        <w:rPr>
          <w:rFonts w:asciiTheme="majorHAnsi" w:hAnsiTheme="majorHAnsi"/>
          <w:sz w:val="28"/>
          <w:szCs w:val="28"/>
        </w:rPr>
        <w:t>410 North 21st Street</w:t>
      </w:r>
      <w:r>
        <w:rPr>
          <w:rFonts w:asciiTheme="majorHAnsi" w:hAnsiTheme="majorHAnsi"/>
          <w:sz w:val="28"/>
          <w:szCs w:val="28"/>
        </w:rPr>
        <w:br/>
      </w:r>
      <w:r w:rsidRPr="00584BDA">
        <w:rPr>
          <w:rFonts w:asciiTheme="majorHAnsi" w:hAnsiTheme="majorHAnsi"/>
          <w:sz w:val="28"/>
          <w:szCs w:val="28"/>
        </w:rPr>
        <w:t>Colorado Springs, CO 80904</w:t>
      </w:r>
    </w:p>
    <w:p w14:paraId="7A2EADC9" w14:textId="77777777" w:rsidR="004131FB" w:rsidRPr="008F2FC7" w:rsidRDefault="004131FB" w:rsidP="004131FB">
      <w:pPr>
        <w:spacing w:after="240"/>
        <w:jc w:val="center"/>
        <w:rPr>
          <w:rFonts w:asciiTheme="majorHAnsi" w:hAnsiTheme="majorHAnsi"/>
          <w:sz w:val="28"/>
          <w:szCs w:val="28"/>
        </w:rPr>
      </w:pPr>
      <w:r w:rsidRPr="008F2FC7">
        <w:rPr>
          <w:rFonts w:asciiTheme="majorHAnsi" w:hAnsiTheme="majorHAnsi"/>
          <w:sz w:val="28"/>
          <w:szCs w:val="28"/>
        </w:rPr>
        <w:t xml:space="preserve">This document may be downloaded for free at: </w:t>
      </w:r>
      <w:hyperlink r:id="rId14" w:history="1">
        <w:r w:rsidRPr="008F2FC7">
          <w:rPr>
            <w:rStyle w:val="Hyperlink"/>
            <w:rFonts w:asciiTheme="majorHAnsi" w:hAnsiTheme="majorHAnsi"/>
            <w:sz w:val="28"/>
            <w:szCs w:val="28"/>
          </w:rPr>
          <w:t>http://asb.aafs.org/</w:t>
        </w:r>
      </w:hyperlink>
    </w:p>
    <w:p w14:paraId="6BCDEA22" w14:textId="77777777" w:rsidR="004131FB" w:rsidRPr="008F2FC7" w:rsidRDefault="004131FB" w:rsidP="004131FB">
      <w:pPr>
        <w:spacing w:after="240"/>
        <w:rPr>
          <w:rFonts w:asciiTheme="majorHAnsi" w:hAnsiTheme="majorHAnsi"/>
          <w:i/>
        </w:rPr>
      </w:pPr>
      <w:r w:rsidRPr="008F2FC7">
        <w:rPr>
          <w:rFonts w:asciiTheme="majorHAnsi" w:hAnsiTheme="majorHAnsi"/>
          <w:i/>
        </w:rPr>
        <w:t>This document is provided by the AAFS Standards Board for free. You are permitted to print and download the document and extracts from the document for your own use, provided that:</w:t>
      </w:r>
    </w:p>
    <w:p w14:paraId="559C0CC4" w14:textId="77777777" w:rsidR="004131FB" w:rsidRPr="008F2FC7" w:rsidRDefault="004131FB" w:rsidP="001B46E3">
      <w:pPr>
        <w:widowControl/>
        <w:numPr>
          <w:ilvl w:val="0"/>
          <w:numId w:val="21"/>
        </w:numPr>
        <w:spacing w:after="240"/>
        <w:ind w:left="450" w:hanging="450"/>
        <w:rPr>
          <w:rFonts w:asciiTheme="majorHAnsi" w:hAnsiTheme="majorHAnsi"/>
          <w:i/>
        </w:rPr>
      </w:pPr>
      <w:r w:rsidRPr="008F2FC7">
        <w:rPr>
          <w:rFonts w:asciiTheme="majorHAnsi" w:hAnsiTheme="majorHAnsi"/>
          <w:i/>
        </w:rPr>
        <w:t>you do not modify this document or its related graphics in any way;</w:t>
      </w:r>
    </w:p>
    <w:p w14:paraId="5EA2A321" w14:textId="77777777" w:rsidR="004131FB" w:rsidRPr="008F2FC7" w:rsidRDefault="004131FB" w:rsidP="001B46E3">
      <w:pPr>
        <w:widowControl/>
        <w:numPr>
          <w:ilvl w:val="0"/>
          <w:numId w:val="21"/>
        </w:numPr>
        <w:spacing w:after="240"/>
        <w:ind w:left="450" w:hanging="450"/>
        <w:rPr>
          <w:rFonts w:asciiTheme="majorHAnsi" w:hAnsiTheme="majorHAnsi"/>
          <w:i/>
        </w:rPr>
      </w:pPr>
      <w:r w:rsidRPr="008F2FC7">
        <w:rPr>
          <w:rFonts w:asciiTheme="majorHAnsi" w:hAnsiTheme="majorHAnsi"/>
          <w:i/>
        </w:rPr>
        <w:t xml:space="preserve">you do not use any illustrations or any graphics separately from any accompanying text; and, </w:t>
      </w:r>
    </w:p>
    <w:p w14:paraId="2059005B" w14:textId="77777777" w:rsidR="004131FB" w:rsidRPr="008F2FC7" w:rsidRDefault="004131FB" w:rsidP="001B46E3">
      <w:pPr>
        <w:widowControl/>
        <w:numPr>
          <w:ilvl w:val="0"/>
          <w:numId w:val="21"/>
        </w:numPr>
        <w:spacing w:after="240"/>
        <w:ind w:left="450" w:hanging="450"/>
        <w:rPr>
          <w:rFonts w:asciiTheme="majorHAnsi" w:hAnsiTheme="majorHAnsi"/>
          <w:i/>
        </w:rPr>
      </w:pPr>
      <w:r w:rsidRPr="008F2FC7">
        <w:rPr>
          <w:rFonts w:asciiTheme="majorHAnsi" w:hAnsiTheme="majorHAnsi"/>
          <w:i/>
        </w:rPr>
        <w:t>you include an acknowledgement alongside the copied material noting the AAFS Standards Board as the copyright holder and publisher.</w:t>
      </w:r>
    </w:p>
    <w:p w14:paraId="116F74F5" w14:textId="77777777" w:rsidR="004131FB" w:rsidRPr="008F2FC7" w:rsidRDefault="004131FB" w:rsidP="004131FB">
      <w:pPr>
        <w:spacing w:after="240"/>
        <w:rPr>
          <w:rFonts w:asciiTheme="majorHAnsi" w:hAnsiTheme="majorHAnsi"/>
          <w:i/>
        </w:rPr>
      </w:pPr>
      <w:r w:rsidRPr="008F2FC7">
        <w:rPr>
          <w:rFonts w:asciiTheme="majorHAnsi" w:hAnsiTheme="majorHAnsi"/>
          <w:i/>
        </w:rPr>
        <w:t xml:space="preserve">You expressly agree not to reproduce, duplicate, copy, sell, resell, or exploit for any commercial purposes, this document or any portion of it. You may create a hyperlink to </w:t>
      </w:r>
      <w:hyperlink r:id="rId15" w:history="1">
        <w:r w:rsidRPr="008F2FC7">
          <w:rPr>
            <w:rFonts w:asciiTheme="majorHAnsi" w:hAnsiTheme="majorHAnsi"/>
            <w:color w:val="0000FF"/>
            <w:u w:val="single"/>
          </w:rPr>
          <w:t>http://asb.aafs.org</w:t>
        </w:r>
      </w:hyperlink>
      <w:r w:rsidRPr="008F2FC7">
        <w:rPr>
          <w:rFonts w:asciiTheme="majorHAnsi" w:hAnsiTheme="majorHAnsi"/>
          <w:i/>
        </w:rPr>
        <w:t xml:space="preserve"> to allow persons to download their individual, free copy of this document. Your hyperlink must not portray AAFS, the AAFS Standards Board, this document, our agents, associates and affiliates in an offensive manner, or be misleading or false. You may not use our trademarks as part of your link without our written agreement for you to do so.</w:t>
      </w:r>
    </w:p>
    <w:p w14:paraId="7BE6A2EF" w14:textId="77777777" w:rsidR="004131FB" w:rsidRPr="008F2FC7" w:rsidRDefault="004131FB" w:rsidP="004131FB">
      <w:pPr>
        <w:spacing w:after="240"/>
        <w:rPr>
          <w:rFonts w:asciiTheme="majorHAnsi" w:hAnsiTheme="majorHAnsi"/>
          <w:i/>
        </w:rPr>
      </w:pPr>
      <w:r w:rsidRPr="008F2FC7">
        <w:rPr>
          <w:rFonts w:asciiTheme="majorHAnsi" w:hAnsiTheme="majorHAnsi"/>
          <w:i/>
        </w:rPr>
        <w:t xml:space="preserve">The AAFS Standards Board retains the sole right to submit this document to any other forum for any purpose. </w:t>
      </w:r>
    </w:p>
    <w:p w14:paraId="5A05930C" w14:textId="77777777" w:rsidR="004131FB" w:rsidRPr="008F2FC7" w:rsidRDefault="004131FB" w:rsidP="004131FB">
      <w:pPr>
        <w:spacing w:after="1080"/>
        <w:rPr>
          <w:rFonts w:asciiTheme="majorHAnsi" w:hAnsiTheme="majorHAnsi"/>
          <w:i/>
        </w:rPr>
      </w:pPr>
      <w:r w:rsidRPr="008F2FC7">
        <w:rPr>
          <w:rFonts w:asciiTheme="majorHAnsi" w:hAnsiTheme="majorHAnsi"/>
          <w:i/>
        </w:rPr>
        <w:t>Certain commercial entities, equipment or materials may be identified in this document to describe a procedure or concept adequately. Such identification is not intended to imply recommendations or endorsement by the AAFS or the AAFS Standards Board, nor is it intended to imply that the entities, materials, or equipment are necessarily the best available for the purpose.</w:t>
      </w:r>
    </w:p>
    <w:p w14:paraId="1834D6EA" w14:textId="22E726AD" w:rsidR="00537F01" w:rsidRPr="00B6539B" w:rsidRDefault="004131FB" w:rsidP="004131FB">
      <w:pPr>
        <w:widowControl/>
        <w:spacing w:after="240"/>
        <w:jc w:val="center"/>
        <w:rPr>
          <w:rFonts w:asciiTheme="majorHAnsi" w:eastAsia="Cambria" w:hAnsiTheme="majorHAnsi" w:cs="Cambria"/>
          <w:sz w:val="24"/>
          <w:szCs w:val="24"/>
        </w:rPr>
      </w:pPr>
      <w:r w:rsidRPr="008F2FC7">
        <w:rPr>
          <w:rFonts w:asciiTheme="majorHAnsi" w:hAnsiTheme="majorHAnsi"/>
          <w:i/>
          <w:sz w:val="20"/>
        </w:rPr>
        <w:t>This document is copyrighted</w:t>
      </w:r>
      <w:r w:rsidRPr="008F2FC7">
        <w:rPr>
          <w:rFonts w:asciiTheme="majorHAnsi" w:hAnsiTheme="majorHAnsi"/>
          <w:i/>
          <w:sz w:val="20"/>
          <w:vertAlign w:val="superscript"/>
        </w:rPr>
        <w:t xml:space="preserve"> ©</w:t>
      </w:r>
      <w:r w:rsidRPr="008F2FC7">
        <w:rPr>
          <w:rFonts w:asciiTheme="majorHAnsi" w:hAnsiTheme="majorHAnsi"/>
          <w:i/>
          <w:sz w:val="20"/>
        </w:rPr>
        <w:t xml:space="preserve"> by the</w:t>
      </w:r>
      <w:r>
        <w:rPr>
          <w:rFonts w:asciiTheme="majorHAnsi" w:hAnsiTheme="majorHAnsi"/>
          <w:i/>
          <w:sz w:val="20"/>
        </w:rPr>
        <w:t xml:space="preserve"> AAFS Standards Board, LLC. 2018</w:t>
      </w:r>
      <w:r w:rsidRPr="008F2FC7">
        <w:rPr>
          <w:rFonts w:asciiTheme="majorHAnsi" w:hAnsiTheme="majorHAnsi"/>
          <w:i/>
          <w:sz w:val="20"/>
        </w:rPr>
        <w:t xml:space="preserve"> All rights are reserved.</w:t>
      </w:r>
      <w:r w:rsidRPr="008F2FC7">
        <w:rPr>
          <w:rFonts w:asciiTheme="majorHAnsi" w:hAnsiTheme="majorHAnsi"/>
          <w:i/>
          <w:sz w:val="20"/>
        </w:rPr>
        <w:br/>
      </w:r>
      <w:r>
        <w:rPr>
          <w:rFonts w:asciiTheme="majorHAnsi" w:hAnsiTheme="majorHAnsi"/>
          <w:i/>
          <w:sz w:val="20"/>
        </w:rPr>
        <w:t xml:space="preserve">410 North 21st Street, </w:t>
      </w:r>
      <w:r w:rsidRPr="00584BDA">
        <w:rPr>
          <w:rFonts w:asciiTheme="majorHAnsi" w:hAnsiTheme="majorHAnsi"/>
          <w:i/>
          <w:sz w:val="20"/>
        </w:rPr>
        <w:t>Colorado Springs, CO 80904</w:t>
      </w:r>
      <w:r w:rsidRPr="008F2FC7">
        <w:rPr>
          <w:rFonts w:asciiTheme="majorHAnsi" w:hAnsiTheme="majorHAnsi"/>
          <w:i/>
          <w:sz w:val="20"/>
        </w:rPr>
        <w:t>, asb.aafs.org.</w:t>
      </w:r>
    </w:p>
    <w:p w14:paraId="3E258F72" w14:textId="77777777" w:rsidR="00537F01" w:rsidRPr="00827F98" w:rsidRDefault="00334E61" w:rsidP="007E3402">
      <w:pPr>
        <w:widowControl/>
        <w:spacing w:after="240"/>
        <w:jc w:val="both"/>
        <w:rPr>
          <w:rFonts w:asciiTheme="majorHAnsi" w:eastAsia="Cambria" w:hAnsiTheme="majorHAnsi" w:cs="Cambria"/>
          <w:sz w:val="28"/>
          <w:szCs w:val="24"/>
        </w:rPr>
      </w:pPr>
      <w:r w:rsidRPr="00827F98">
        <w:rPr>
          <w:rFonts w:asciiTheme="majorHAnsi" w:hAnsiTheme="majorHAnsi"/>
          <w:b/>
          <w:sz w:val="28"/>
        </w:rPr>
        <w:lastRenderedPageBreak/>
        <w:t>For</w:t>
      </w:r>
      <w:r w:rsidR="009C35D5">
        <w:rPr>
          <w:rFonts w:asciiTheme="majorHAnsi" w:hAnsiTheme="majorHAnsi"/>
          <w:b/>
          <w:sz w:val="28"/>
        </w:rPr>
        <w:t>e</w:t>
      </w:r>
      <w:r w:rsidRPr="00827F98">
        <w:rPr>
          <w:rFonts w:asciiTheme="majorHAnsi" w:hAnsiTheme="majorHAnsi"/>
          <w:b/>
          <w:sz w:val="28"/>
        </w:rPr>
        <w:t>w</w:t>
      </w:r>
      <w:r w:rsidR="009C35D5">
        <w:rPr>
          <w:rFonts w:asciiTheme="majorHAnsi" w:hAnsiTheme="majorHAnsi"/>
          <w:b/>
          <w:sz w:val="28"/>
        </w:rPr>
        <w:t>o</w:t>
      </w:r>
      <w:r w:rsidRPr="00827F98">
        <w:rPr>
          <w:rFonts w:asciiTheme="majorHAnsi" w:hAnsiTheme="majorHAnsi"/>
          <w:b/>
          <w:sz w:val="28"/>
        </w:rPr>
        <w:t>rd</w:t>
      </w:r>
    </w:p>
    <w:p w14:paraId="520B3941" w14:textId="77777777" w:rsidR="00B6539B" w:rsidRDefault="00334E61" w:rsidP="007E3402">
      <w:pPr>
        <w:widowControl/>
        <w:spacing w:after="240"/>
        <w:jc w:val="both"/>
        <w:rPr>
          <w:rFonts w:asciiTheme="majorHAnsi" w:eastAsia="Cambria" w:hAnsiTheme="majorHAnsi" w:cs="Cambria"/>
        </w:rPr>
      </w:pPr>
      <w:r w:rsidRPr="009A3B1E">
        <w:rPr>
          <w:rFonts w:asciiTheme="majorHAnsi" w:hAnsiTheme="majorHAnsi"/>
        </w:rPr>
        <w:t xml:space="preserve">This Standard Practices for Measurement Traceability in Forensic Toxicology was developed to provide minimum requirements for establishing measurement traceability in </w:t>
      </w:r>
      <w:r w:rsidR="00D159A0" w:rsidRPr="009A3B1E">
        <w:rPr>
          <w:rFonts w:asciiTheme="majorHAnsi" w:hAnsiTheme="majorHAnsi"/>
        </w:rPr>
        <w:t>f</w:t>
      </w:r>
      <w:r w:rsidRPr="009A3B1E">
        <w:rPr>
          <w:rFonts w:asciiTheme="majorHAnsi" w:hAnsiTheme="majorHAnsi"/>
        </w:rPr>
        <w:t xml:space="preserve">orensic </w:t>
      </w:r>
      <w:r w:rsidR="00D159A0" w:rsidRPr="009A3B1E">
        <w:rPr>
          <w:rFonts w:asciiTheme="majorHAnsi" w:hAnsiTheme="majorHAnsi"/>
        </w:rPr>
        <w:t xml:space="preserve">toxicology </w:t>
      </w:r>
      <w:r w:rsidRPr="009A3B1E">
        <w:rPr>
          <w:rFonts w:asciiTheme="majorHAnsi" w:hAnsiTheme="majorHAnsi"/>
        </w:rPr>
        <w:t>laboratories. The fundamental reason for establishing traceability of a measurement is to ensure confidence and reliability in forensic toxicological test results. This standard was developed by the Toxicology Subcommittee of the Organizational Scientific Area Committee.</w:t>
      </w:r>
      <w:r w:rsidR="00DB72E1">
        <w:rPr>
          <w:rFonts w:asciiTheme="majorHAnsi" w:eastAsia="Cambria" w:hAnsiTheme="majorHAnsi" w:cs="Cambria"/>
        </w:rPr>
        <w:t xml:space="preserve"> </w:t>
      </w:r>
      <w:r w:rsidR="005C2C58" w:rsidRPr="009A3B1E">
        <w:rPr>
          <w:rFonts w:asciiTheme="majorHAnsi" w:eastAsia="Cambria" w:hAnsiTheme="majorHAnsi" w:cs="Cambria"/>
        </w:rPr>
        <w:t>It was prepared and finalized as a standard by the Toxicology Consensus Body of the ASB.</w:t>
      </w:r>
      <w:r w:rsidR="00DB72E1">
        <w:rPr>
          <w:rFonts w:asciiTheme="majorHAnsi" w:eastAsia="Cambria" w:hAnsiTheme="majorHAnsi" w:cs="Cambria"/>
        </w:rPr>
        <w:t xml:space="preserve"> </w:t>
      </w:r>
      <w:r w:rsidR="005C2C58" w:rsidRPr="009A3B1E">
        <w:rPr>
          <w:rFonts w:asciiTheme="majorHAnsi" w:eastAsia="Cambria" w:hAnsiTheme="majorHAnsi" w:cs="Cambria"/>
        </w:rPr>
        <w:t>All hyperlinks and web addresses shown in the document are current as of the publication date of this standard.</w:t>
      </w:r>
    </w:p>
    <w:p w14:paraId="402EA7C4" w14:textId="77777777" w:rsidR="00B6539B" w:rsidRDefault="00B6539B" w:rsidP="00B6539B">
      <w:pPr>
        <w:pStyle w:val="BodyText"/>
        <w:widowControl/>
        <w:spacing w:after="240"/>
        <w:ind w:left="100"/>
        <w:jc w:val="both"/>
        <w:rPr>
          <w:rFonts w:asciiTheme="majorHAnsi" w:hAnsiTheme="majorHAnsi"/>
          <w:b/>
        </w:rPr>
      </w:pPr>
    </w:p>
    <w:p w14:paraId="2D45C5FB" w14:textId="77777777" w:rsidR="00B6539B" w:rsidRDefault="00B6539B" w:rsidP="00B6539B">
      <w:pPr>
        <w:pStyle w:val="BodyText"/>
        <w:widowControl/>
        <w:spacing w:after="240"/>
        <w:ind w:left="100"/>
        <w:jc w:val="both"/>
        <w:rPr>
          <w:rFonts w:asciiTheme="majorHAnsi" w:hAnsiTheme="majorHAnsi"/>
          <w:b/>
        </w:rPr>
      </w:pPr>
    </w:p>
    <w:p w14:paraId="7F0710BC" w14:textId="77777777" w:rsidR="00B6539B" w:rsidRDefault="00B6539B" w:rsidP="00B6539B">
      <w:pPr>
        <w:pStyle w:val="BodyText"/>
        <w:widowControl/>
        <w:spacing w:after="240"/>
        <w:ind w:left="100"/>
        <w:jc w:val="both"/>
        <w:rPr>
          <w:rFonts w:asciiTheme="majorHAnsi" w:hAnsiTheme="majorHAnsi"/>
          <w:b/>
        </w:rPr>
      </w:pPr>
    </w:p>
    <w:p w14:paraId="76A2A725" w14:textId="77777777" w:rsidR="00B6539B" w:rsidRDefault="00B6539B" w:rsidP="00B6539B">
      <w:pPr>
        <w:pStyle w:val="BodyText"/>
        <w:widowControl/>
        <w:spacing w:after="240"/>
        <w:ind w:left="100"/>
        <w:jc w:val="both"/>
        <w:rPr>
          <w:rFonts w:asciiTheme="majorHAnsi" w:hAnsiTheme="majorHAnsi"/>
          <w:b/>
        </w:rPr>
      </w:pPr>
    </w:p>
    <w:p w14:paraId="02B869F8" w14:textId="0109CB19" w:rsidR="00B6539B" w:rsidRDefault="00B6539B" w:rsidP="00B6539B">
      <w:pPr>
        <w:pStyle w:val="BodyText"/>
        <w:widowControl/>
        <w:spacing w:after="240"/>
        <w:ind w:left="100"/>
        <w:jc w:val="both"/>
        <w:rPr>
          <w:rFonts w:asciiTheme="majorHAnsi" w:hAnsiTheme="majorHAnsi"/>
          <w:b/>
        </w:rPr>
      </w:pPr>
    </w:p>
    <w:p w14:paraId="6FC12125" w14:textId="5F2188F1" w:rsidR="00B6539B" w:rsidRDefault="00B6539B" w:rsidP="00B6539B">
      <w:pPr>
        <w:pStyle w:val="BodyText"/>
        <w:widowControl/>
        <w:spacing w:after="240"/>
        <w:ind w:left="100"/>
        <w:jc w:val="both"/>
        <w:rPr>
          <w:rFonts w:asciiTheme="majorHAnsi" w:hAnsiTheme="majorHAnsi"/>
          <w:b/>
        </w:rPr>
      </w:pPr>
    </w:p>
    <w:p w14:paraId="248F7EB6" w14:textId="2FFCDAF1" w:rsidR="00B6539B" w:rsidRDefault="00B6539B" w:rsidP="00B6539B">
      <w:pPr>
        <w:pStyle w:val="BodyText"/>
        <w:widowControl/>
        <w:spacing w:after="240"/>
        <w:ind w:left="100"/>
        <w:jc w:val="both"/>
        <w:rPr>
          <w:rFonts w:asciiTheme="majorHAnsi" w:hAnsiTheme="majorHAnsi"/>
          <w:b/>
        </w:rPr>
      </w:pPr>
    </w:p>
    <w:p w14:paraId="12682CB1" w14:textId="41872D4F" w:rsidR="00B6539B" w:rsidRDefault="00B6539B" w:rsidP="00B6539B">
      <w:pPr>
        <w:pStyle w:val="BodyText"/>
        <w:widowControl/>
        <w:spacing w:after="240"/>
        <w:ind w:left="100"/>
        <w:jc w:val="both"/>
        <w:rPr>
          <w:rFonts w:asciiTheme="majorHAnsi" w:hAnsiTheme="majorHAnsi"/>
          <w:b/>
        </w:rPr>
      </w:pPr>
    </w:p>
    <w:p w14:paraId="79E21393" w14:textId="7115F379" w:rsidR="00B6539B" w:rsidRDefault="00B6539B" w:rsidP="00B6539B">
      <w:pPr>
        <w:pStyle w:val="BodyText"/>
        <w:widowControl/>
        <w:spacing w:after="240"/>
        <w:ind w:left="100"/>
        <w:jc w:val="both"/>
        <w:rPr>
          <w:rFonts w:asciiTheme="majorHAnsi" w:hAnsiTheme="majorHAnsi"/>
          <w:b/>
        </w:rPr>
      </w:pPr>
    </w:p>
    <w:p w14:paraId="722A5992" w14:textId="5DBB368A" w:rsidR="00B6539B" w:rsidRDefault="00B6539B" w:rsidP="00B6539B">
      <w:pPr>
        <w:pStyle w:val="BodyText"/>
        <w:widowControl/>
        <w:spacing w:after="240"/>
        <w:ind w:left="100"/>
        <w:jc w:val="both"/>
        <w:rPr>
          <w:rFonts w:asciiTheme="majorHAnsi" w:hAnsiTheme="majorHAnsi"/>
          <w:b/>
        </w:rPr>
      </w:pPr>
    </w:p>
    <w:p w14:paraId="722839C0" w14:textId="0C3C70FE" w:rsidR="00B6539B" w:rsidRDefault="00B6539B" w:rsidP="00B6539B">
      <w:pPr>
        <w:pStyle w:val="BodyText"/>
        <w:widowControl/>
        <w:spacing w:after="240"/>
        <w:ind w:left="100"/>
        <w:jc w:val="both"/>
        <w:rPr>
          <w:rFonts w:asciiTheme="majorHAnsi" w:hAnsiTheme="majorHAnsi"/>
          <w:b/>
        </w:rPr>
      </w:pPr>
    </w:p>
    <w:p w14:paraId="05C765AB" w14:textId="4D93F6BC" w:rsidR="00B6539B" w:rsidRDefault="00B6539B" w:rsidP="00B6539B">
      <w:pPr>
        <w:pStyle w:val="BodyText"/>
        <w:widowControl/>
        <w:spacing w:after="240"/>
        <w:ind w:left="100"/>
        <w:jc w:val="both"/>
        <w:rPr>
          <w:rFonts w:asciiTheme="majorHAnsi" w:hAnsiTheme="majorHAnsi"/>
          <w:b/>
        </w:rPr>
      </w:pPr>
    </w:p>
    <w:p w14:paraId="406D6B2E" w14:textId="40B5983B" w:rsidR="00B6539B" w:rsidRDefault="00B6539B" w:rsidP="00B6539B">
      <w:pPr>
        <w:pStyle w:val="BodyText"/>
        <w:widowControl/>
        <w:spacing w:after="240"/>
        <w:ind w:left="100"/>
        <w:jc w:val="both"/>
        <w:rPr>
          <w:rFonts w:asciiTheme="majorHAnsi" w:hAnsiTheme="majorHAnsi"/>
          <w:b/>
        </w:rPr>
      </w:pPr>
    </w:p>
    <w:p w14:paraId="119DE514" w14:textId="195C9FDB" w:rsidR="00B6539B" w:rsidRDefault="00B6539B" w:rsidP="00B6539B">
      <w:pPr>
        <w:pStyle w:val="BodyText"/>
        <w:widowControl/>
        <w:spacing w:after="240"/>
        <w:ind w:left="100"/>
        <w:jc w:val="both"/>
        <w:rPr>
          <w:rFonts w:asciiTheme="majorHAnsi" w:hAnsiTheme="majorHAnsi"/>
          <w:b/>
        </w:rPr>
      </w:pPr>
    </w:p>
    <w:p w14:paraId="116D627D" w14:textId="2C68054A" w:rsidR="00572D8B" w:rsidRDefault="00572D8B" w:rsidP="00B6539B">
      <w:pPr>
        <w:pStyle w:val="BodyText"/>
        <w:widowControl/>
        <w:spacing w:after="240"/>
        <w:ind w:left="100"/>
        <w:jc w:val="both"/>
        <w:rPr>
          <w:rFonts w:asciiTheme="majorHAnsi" w:hAnsiTheme="majorHAnsi"/>
          <w:b/>
        </w:rPr>
      </w:pPr>
    </w:p>
    <w:p w14:paraId="2D9FC459" w14:textId="77777777" w:rsidR="00572D8B" w:rsidRDefault="00572D8B" w:rsidP="00B6539B">
      <w:pPr>
        <w:pStyle w:val="BodyText"/>
        <w:widowControl/>
        <w:spacing w:after="240"/>
        <w:ind w:left="100"/>
        <w:jc w:val="both"/>
        <w:rPr>
          <w:rFonts w:asciiTheme="majorHAnsi" w:hAnsiTheme="majorHAnsi"/>
          <w:b/>
        </w:rPr>
      </w:pPr>
    </w:p>
    <w:p w14:paraId="09DC38F6" w14:textId="77777777" w:rsidR="00B6539B" w:rsidRDefault="00B6539B" w:rsidP="00B6539B">
      <w:pPr>
        <w:pStyle w:val="BodyText"/>
        <w:widowControl/>
        <w:spacing w:after="240"/>
        <w:ind w:left="100"/>
        <w:jc w:val="both"/>
        <w:rPr>
          <w:rFonts w:asciiTheme="majorHAnsi" w:hAnsiTheme="majorHAnsi"/>
          <w:b/>
        </w:rPr>
      </w:pPr>
    </w:p>
    <w:p w14:paraId="01A51553" w14:textId="58F323FC" w:rsidR="00B6539B" w:rsidRPr="00827F98" w:rsidRDefault="00B6539B" w:rsidP="007E3402">
      <w:pPr>
        <w:pStyle w:val="BodyText"/>
        <w:widowControl/>
        <w:spacing w:after="240"/>
        <w:ind w:left="0"/>
        <w:jc w:val="both"/>
        <w:rPr>
          <w:rFonts w:asciiTheme="majorHAnsi" w:hAnsiTheme="majorHAnsi"/>
        </w:rPr>
      </w:pPr>
      <w:r w:rsidRPr="00B6539B">
        <w:rPr>
          <w:rFonts w:asciiTheme="majorHAnsi" w:hAnsiTheme="majorHAnsi"/>
          <w:b/>
        </w:rPr>
        <w:t>Keywords:</w:t>
      </w:r>
      <w:r w:rsidRPr="00827F98">
        <w:rPr>
          <w:rFonts w:asciiTheme="majorHAnsi" w:hAnsiTheme="majorHAnsi"/>
        </w:rPr>
        <w:t xml:space="preserve"> </w:t>
      </w:r>
      <w:r w:rsidRPr="00B6539B">
        <w:rPr>
          <w:rFonts w:asciiTheme="majorHAnsi" w:hAnsiTheme="majorHAnsi"/>
          <w:i/>
          <w:sz w:val="22"/>
        </w:rPr>
        <w:t>Measurement Traceability, Calibration, Forensic Toxicology</w:t>
      </w:r>
    </w:p>
    <w:p w14:paraId="0B49619F" w14:textId="77777777" w:rsidR="00B6539B" w:rsidRDefault="00B6539B">
      <w:pPr>
        <w:rPr>
          <w:rFonts w:asciiTheme="majorHAnsi" w:hAnsiTheme="majorHAnsi"/>
          <w:b/>
          <w:sz w:val="28"/>
        </w:rPr>
      </w:pPr>
      <w:r>
        <w:rPr>
          <w:rFonts w:asciiTheme="majorHAnsi" w:hAnsiTheme="majorHAnsi"/>
          <w:b/>
          <w:sz w:val="28"/>
        </w:rPr>
        <w:br w:type="page"/>
      </w:r>
    </w:p>
    <w:p w14:paraId="0028F702" w14:textId="4D3A1FB0" w:rsidR="00B6539B" w:rsidRDefault="00B6539B">
      <w:pPr>
        <w:rPr>
          <w:rFonts w:asciiTheme="majorHAnsi" w:eastAsia="Cambria" w:hAnsiTheme="majorHAnsi" w:cs="Cambria"/>
        </w:rPr>
      </w:pPr>
    </w:p>
    <w:p w14:paraId="41B2B1A1" w14:textId="72F01A2C" w:rsidR="00537F01" w:rsidRPr="00827F98" w:rsidRDefault="00334E61" w:rsidP="00B6539B">
      <w:pPr>
        <w:widowControl/>
        <w:tabs>
          <w:tab w:val="left" w:pos="450"/>
        </w:tabs>
        <w:spacing w:after="240"/>
        <w:jc w:val="both"/>
        <w:rPr>
          <w:rFonts w:asciiTheme="majorHAnsi" w:eastAsia="Cambria" w:hAnsiTheme="majorHAnsi" w:cs="Cambria"/>
          <w:sz w:val="28"/>
          <w:szCs w:val="24"/>
        </w:rPr>
      </w:pPr>
      <w:r w:rsidRPr="00827F98">
        <w:rPr>
          <w:rFonts w:asciiTheme="majorHAnsi" w:hAnsiTheme="majorHAnsi"/>
          <w:b/>
          <w:sz w:val="28"/>
        </w:rPr>
        <w:t>Table of Contents</w:t>
      </w:r>
    </w:p>
    <w:p w14:paraId="6585DB43" w14:textId="59C56407" w:rsidR="00206F29" w:rsidRDefault="008B5608" w:rsidP="0013010C">
      <w:pPr>
        <w:tabs>
          <w:tab w:val="left" w:pos="360"/>
          <w:tab w:val="right" w:leader="dot" w:pos="9360"/>
        </w:tabs>
        <w:spacing w:after="120"/>
        <w:rPr>
          <w:rFonts w:asciiTheme="majorHAnsi" w:hAnsiTheme="majorHAnsi"/>
        </w:rPr>
      </w:pPr>
      <w:r w:rsidRPr="008B5608">
        <w:rPr>
          <w:rFonts w:asciiTheme="majorHAnsi" w:hAnsiTheme="majorHAnsi"/>
        </w:rPr>
        <w:t>1</w:t>
      </w:r>
      <w:r w:rsidRPr="008B5608">
        <w:rPr>
          <w:rFonts w:asciiTheme="majorHAnsi" w:hAnsiTheme="majorHAnsi"/>
        </w:rPr>
        <w:tab/>
        <w:t>Scope</w:t>
      </w:r>
      <w:r w:rsidRPr="008B5608">
        <w:rPr>
          <w:rFonts w:asciiTheme="majorHAnsi" w:hAnsiTheme="majorHAnsi"/>
        </w:rPr>
        <w:tab/>
        <w:t>1</w:t>
      </w:r>
    </w:p>
    <w:p w14:paraId="049B5237" w14:textId="70F26588" w:rsidR="0013010C" w:rsidRDefault="0013010C" w:rsidP="0013010C">
      <w:pPr>
        <w:tabs>
          <w:tab w:val="left" w:pos="360"/>
          <w:tab w:val="right" w:leader="dot" w:pos="9360"/>
        </w:tabs>
        <w:spacing w:after="120"/>
        <w:rPr>
          <w:rFonts w:asciiTheme="majorHAnsi" w:hAnsiTheme="majorHAnsi"/>
        </w:rPr>
      </w:pPr>
      <w:r>
        <w:rPr>
          <w:rFonts w:asciiTheme="majorHAnsi" w:hAnsiTheme="majorHAnsi"/>
        </w:rPr>
        <w:t>2</w:t>
      </w:r>
      <w:r>
        <w:rPr>
          <w:rFonts w:asciiTheme="majorHAnsi" w:hAnsiTheme="majorHAnsi"/>
        </w:rPr>
        <w:tab/>
        <w:t>Normative References</w:t>
      </w:r>
      <w:r>
        <w:rPr>
          <w:rFonts w:asciiTheme="majorHAnsi" w:hAnsiTheme="majorHAnsi"/>
        </w:rPr>
        <w:tab/>
        <w:t>1</w:t>
      </w:r>
    </w:p>
    <w:p w14:paraId="1E2E0C2B" w14:textId="0FFB9C5C" w:rsidR="0013010C" w:rsidRDefault="0013010C" w:rsidP="0013010C">
      <w:pPr>
        <w:tabs>
          <w:tab w:val="left" w:pos="360"/>
          <w:tab w:val="right" w:leader="dot" w:pos="9360"/>
        </w:tabs>
        <w:spacing w:after="120"/>
        <w:rPr>
          <w:rFonts w:asciiTheme="majorHAnsi" w:hAnsiTheme="majorHAnsi"/>
        </w:rPr>
      </w:pPr>
      <w:r>
        <w:rPr>
          <w:rFonts w:asciiTheme="majorHAnsi" w:hAnsiTheme="majorHAnsi"/>
        </w:rPr>
        <w:t>3</w:t>
      </w:r>
      <w:r>
        <w:rPr>
          <w:rFonts w:asciiTheme="majorHAnsi" w:hAnsiTheme="majorHAnsi"/>
        </w:rPr>
        <w:tab/>
        <w:t>Terms and Definitions</w:t>
      </w:r>
      <w:r>
        <w:rPr>
          <w:rFonts w:asciiTheme="majorHAnsi" w:hAnsiTheme="majorHAnsi"/>
        </w:rPr>
        <w:tab/>
        <w:t>1</w:t>
      </w:r>
    </w:p>
    <w:p w14:paraId="42AA2527" w14:textId="09674967" w:rsidR="0013010C" w:rsidRDefault="0013010C" w:rsidP="0013010C">
      <w:pPr>
        <w:tabs>
          <w:tab w:val="left" w:pos="360"/>
          <w:tab w:val="right" w:leader="dot" w:pos="9360"/>
        </w:tabs>
        <w:rPr>
          <w:rFonts w:asciiTheme="majorHAnsi" w:hAnsiTheme="majorHAnsi"/>
        </w:rPr>
      </w:pPr>
      <w:r>
        <w:rPr>
          <w:rFonts w:asciiTheme="majorHAnsi" w:hAnsiTheme="majorHAnsi"/>
        </w:rPr>
        <w:t>4</w:t>
      </w:r>
      <w:r>
        <w:rPr>
          <w:rFonts w:asciiTheme="majorHAnsi" w:hAnsiTheme="majorHAnsi"/>
        </w:rPr>
        <w:tab/>
      </w:r>
      <w:r w:rsidRPr="0013010C">
        <w:rPr>
          <w:rFonts w:asciiTheme="majorHAnsi" w:hAnsiTheme="majorHAnsi"/>
        </w:rPr>
        <w:t>General Measurement Traceability</w:t>
      </w:r>
      <w:r>
        <w:rPr>
          <w:rFonts w:asciiTheme="majorHAnsi" w:hAnsiTheme="majorHAnsi"/>
        </w:rPr>
        <w:tab/>
        <w:t>2</w:t>
      </w:r>
    </w:p>
    <w:p w14:paraId="5A7799BB" w14:textId="14845AE3" w:rsidR="0013010C" w:rsidRDefault="0013010C" w:rsidP="0013010C">
      <w:pPr>
        <w:tabs>
          <w:tab w:val="left" w:pos="540"/>
          <w:tab w:val="right" w:leader="dot" w:pos="9360"/>
        </w:tabs>
        <w:rPr>
          <w:rFonts w:asciiTheme="majorHAnsi" w:hAnsiTheme="majorHAnsi"/>
        </w:rPr>
      </w:pPr>
      <w:r>
        <w:rPr>
          <w:rFonts w:asciiTheme="majorHAnsi" w:hAnsiTheme="majorHAnsi"/>
        </w:rPr>
        <w:t>4.1</w:t>
      </w:r>
      <w:r>
        <w:rPr>
          <w:rFonts w:asciiTheme="majorHAnsi" w:hAnsiTheme="majorHAnsi"/>
        </w:rPr>
        <w:tab/>
      </w:r>
      <w:r w:rsidRPr="0013010C">
        <w:rPr>
          <w:rFonts w:asciiTheme="majorHAnsi" w:hAnsiTheme="majorHAnsi"/>
        </w:rPr>
        <w:t>Background</w:t>
      </w:r>
      <w:r>
        <w:rPr>
          <w:rFonts w:asciiTheme="majorHAnsi" w:hAnsiTheme="majorHAnsi"/>
        </w:rPr>
        <w:tab/>
        <w:t>2</w:t>
      </w:r>
    </w:p>
    <w:p w14:paraId="349F6C6A" w14:textId="0C70F6FC" w:rsidR="0013010C" w:rsidRDefault="0013010C" w:rsidP="0013010C">
      <w:pPr>
        <w:tabs>
          <w:tab w:val="left" w:pos="540"/>
          <w:tab w:val="right" w:leader="dot" w:pos="9360"/>
        </w:tabs>
        <w:spacing w:after="120"/>
        <w:rPr>
          <w:rFonts w:asciiTheme="majorHAnsi" w:hAnsiTheme="majorHAnsi"/>
        </w:rPr>
      </w:pPr>
      <w:r>
        <w:rPr>
          <w:rFonts w:asciiTheme="majorHAnsi" w:hAnsiTheme="majorHAnsi"/>
        </w:rPr>
        <w:t>4.2</w:t>
      </w:r>
      <w:r>
        <w:rPr>
          <w:rFonts w:asciiTheme="majorHAnsi" w:hAnsiTheme="majorHAnsi"/>
        </w:rPr>
        <w:tab/>
      </w:r>
      <w:r w:rsidRPr="0013010C">
        <w:rPr>
          <w:rFonts w:asciiTheme="majorHAnsi" w:hAnsiTheme="majorHAnsi"/>
        </w:rPr>
        <w:t>Requirements for Measurement Traceability</w:t>
      </w:r>
      <w:r>
        <w:rPr>
          <w:rFonts w:asciiTheme="majorHAnsi" w:hAnsiTheme="majorHAnsi"/>
        </w:rPr>
        <w:tab/>
        <w:t>4</w:t>
      </w:r>
    </w:p>
    <w:p w14:paraId="64BFCC67" w14:textId="045727E2" w:rsidR="0013010C" w:rsidRDefault="0013010C" w:rsidP="0013010C">
      <w:pPr>
        <w:tabs>
          <w:tab w:val="left" w:pos="360"/>
          <w:tab w:val="right" w:leader="dot" w:pos="9360"/>
        </w:tabs>
        <w:spacing w:after="120"/>
        <w:rPr>
          <w:rFonts w:asciiTheme="majorHAnsi" w:hAnsiTheme="majorHAnsi"/>
        </w:rPr>
      </w:pPr>
      <w:r>
        <w:rPr>
          <w:rFonts w:asciiTheme="majorHAnsi" w:hAnsiTheme="majorHAnsi"/>
        </w:rPr>
        <w:t>5</w:t>
      </w:r>
      <w:r>
        <w:rPr>
          <w:rFonts w:asciiTheme="majorHAnsi" w:hAnsiTheme="majorHAnsi"/>
        </w:rPr>
        <w:tab/>
      </w:r>
      <w:r w:rsidRPr="0013010C">
        <w:rPr>
          <w:rFonts w:asciiTheme="majorHAnsi" w:hAnsiTheme="majorHAnsi"/>
        </w:rPr>
        <w:t>Measurement Traceability Requirements for Toxicology</w:t>
      </w:r>
      <w:r>
        <w:rPr>
          <w:rFonts w:asciiTheme="majorHAnsi" w:hAnsiTheme="majorHAnsi"/>
        </w:rPr>
        <w:tab/>
        <w:t>6</w:t>
      </w:r>
    </w:p>
    <w:p w14:paraId="47011A99" w14:textId="1AC4E76D" w:rsidR="0013010C" w:rsidRPr="0013010C" w:rsidRDefault="0013010C" w:rsidP="0013010C">
      <w:pPr>
        <w:tabs>
          <w:tab w:val="left" w:pos="360"/>
          <w:tab w:val="right" w:leader="dot" w:pos="9360"/>
        </w:tabs>
        <w:rPr>
          <w:rFonts w:asciiTheme="majorHAnsi" w:hAnsiTheme="majorHAnsi"/>
        </w:rPr>
      </w:pPr>
      <w:r>
        <w:rPr>
          <w:rFonts w:asciiTheme="majorHAnsi" w:hAnsiTheme="majorHAnsi"/>
        </w:rPr>
        <w:t>6</w:t>
      </w:r>
      <w:r>
        <w:rPr>
          <w:rFonts w:asciiTheme="majorHAnsi" w:hAnsiTheme="majorHAnsi"/>
        </w:rPr>
        <w:tab/>
      </w:r>
      <w:r w:rsidRPr="0013010C">
        <w:rPr>
          <w:rFonts w:asciiTheme="majorHAnsi" w:hAnsiTheme="majorHAnsi"/>
        </w:rPr>
        <w:t>Equipment</w:t>
      </w:r>
      <w:r>
        <w:rPr>
          <w:rFonts w:asciiTheme="majorHAnsi" w:hAnsiTheme="majorHAnsi"/>
        </w:rPr>
        <w:tab/>
        <w:t>7</w:t>
      </w:r>
    </w:p>
    <w:p w14:paraId="1EA1CA5E" w14:textId="2E8202F9" w:rsidR="0013010C" w:rsidRDefault="0013010C" w:rsidP="0013010C">
      <w:pPr>
        <w:tabs>
          <w:tab w:val="left" w:pos="540"/>
          <w:tab w:val="right" w:leader="dot" w:pos="9360"/>
        </w:tabs>
        <w:rPr>
          <w:rFonts w:asciiTheme="majorHAnsi" w:hAnsiTheme="majorHAnsi"/>
        </w:rPr>
      </w:pPr>
      <w:r>
        <w:rPr>
          <w:rFonts w:asciiTheme="majorHAnsi" w:hAnsiTheme="majorHAnsi"/>
        </w:rPr>
        <w:t>6.1</w:t>
      </w:r>
      <w:r>
        <w:rPr>
          <w:rFonts w:asciiTheme="majorHAnsi" w:hAnsiTheme="majorHAnsi"/>
        </w:rPr>
        <w:tab/>
      </w:r>
      <w:r w:rsidRPr="0013010C">
        <w:rPr>
          <w:rFonts w:asciiTheme="majorHAnsi" w:hAnsiTheme="majorHAnsi"/>
        </w:rPr>
        <w:t>General</w:t>
      </w:r>
      <w:r>
        <w:rPr>
          <w:rFonts w:asciiTheme="majorHAnsi" w:hAnsiTheme="majorHAnsi"/>
        </w:rPr>
        <w:tab/>
        <w:t>7</w:t>
      </w:r>
    </w:p>
    <w:p w14:paraId="4CB8E0A0" w14:textId="13B748B0" w:rsidR="0013010C" w:rsidRDefault="0013010C" w:rsidP="0013010C">
      <w:pPr>
        <w:tabs>
          <w:tab w:val="left" w:pos="540"/>
          <w:tab w:val="right" w:leader="dot" w:pos="9360"/>
        </w:tabs>
        <w:rPr>
          <w:rFonts w:asciiTheme="majorHAnsi" w:hAnsiTheme="majorHAnsi"/>
        </w:rPr>
      </w:pPr>
      <w:r>
        <w:rPr>
          <w:rFonts w:asciiTheme="majorHAnsi" w:hAnsiTheme="majorHAnsi"/>
        </w:rPr>
        <w:t>6.2</w:t>
      </w:r>
      <w:r>
        <w:rPr>
          <w:rFonts w:asciiTheme="majorHAnsi" w:hAnsiTheme="majorHAnsi"/>
        </w:rPr>
        <w:tab/>
      </w:r>
      <w:r w:rsidRPr="0013010C">
        <w:rPr>
          <w:rFonts w:asciiTheme="majorHAnsi" w:hAnsiTheme="majorHAnsi"/>
        </w:rPr>
        <w:t>Calibration of Analytical Equipment</w:t>
      </w:r>
      <w:r>
        <w:rPr>
          <w:rFonts w:asciiTheme="majorHAnsi" w:hAnsiTheme="majorHAnsi"/>
        </w:rPr>
        <w:tab/>
        <w:t>7</w:t>
      </w:r>
    </w:p>
    <w:p w14:paraId="796C4A05" w14:textId="43804AE0" w:rsidR="0013010C" w:rsidRDefault="0013010C" w:rsidP="0013010C">
      <w:pPr>
        <w:tabs>
          <w:tab w:val="left" w:pos="540"/>
          <w:tab w:val="right" w:leader="dot" w:pos="9360"/>
        </w:tabs>
        <w:spacing w:after="120"/>
        <w:rPr>
          <w:rFonts w:asciiTheme="majorHAnsi" w:hAnsiTheme="majorHAnsi"/>
        </w:rPr>
      </w:pPr>
      <w:r>
        <w:rPr>
          <w:rFonts w:asciiTheme="majorHAnsi" w:hAnsiTheme="majorHAnsi"/>
        </w:rPr>
        <w:t>6.3</w:t>
      </w:r>
      <w:r>
        <w:rPr>
          <w:rFonts w:asciiTheme="majorHAnsi" w:hAnsiTheme="majorHAnsi"/>
        </w:rPr>
        <w:tab/>
      </w:r>
      <w:r w:rsidRPr="0013010C">
        <w:rPr>
          <w:rFonts w:asciiTheme="majorHAnsi" w:hAnsiTheme="majorHAnsi"/>
        </w:rPr>
        <w:t>Other Equipment</w:t>
      </w:r>
      <w:r>
        <w:rPr>
          <w:rFonts w:asciiTheme="majorHAnsi" w:hAnsiTheme="majorHAnsi"/>
        </w:rPr>
        <w:tab/>
        <w:t>8</w:t>
      </w:r>
    </w:p>
    <w:p w14:paraId="2BC54FD7" w14:textId="35C7DCA1" w:rsidR="0013010C" w:rsidRDefault="0013010C" w:rsidP="0013010C">
      <w:pPr>
        <w:tabs>
          <w:tab w:val="left" w:pos="360"/>
          <w:tab w:val="right" w:leader="dot" w:pos="9360"/>
        </w:tabs>
        <w:spacing w:after="120"/>
        <w:rPr>
          <w:rFonts w:asciiTheme="majorHAnsi" w:hAnsiTheme="majorHAnsi"/>
        </w:rPr>
      </w:pPr>
      <w:r>
        <w:rPr>
          <w:rFonts w:asciiTheme="majorHAnsi" w:hAnsiTheme="majorHAnsi"/>
        </w:rPr>
        <w:t>7</w:t>
      </w:r>
      <w:r>
        <w:rPr>
          <w:rFonts w:asciiTheme="majorHAnsi" w:hAnsiTheme="majorHAnsi"/>
        </w:rPr>
        <w:tab/>
        <w:t>Conformance</w:t>
      </w:r>
      <w:r>
        <w:rPr>
          <w:rFonts w:asciiTheme="majorHAnsi" w:hAnsiTheme="majorHAnsi"/>
        </w:rPr>
        <w:tab/>
        <w:t>8</w:t>
      </w:r>
    </w:p>
    <w:p w14:paraId="6A4C888A" w14:textId="147C1661" w:rsidR="0013010C" w:rsidRDefault="0013010C" w:rsidP="0013010C">
      <w:pPr>
        <w:tabs>
          <w:tab w:val="left" w:pos="360"/>
          <w:tab w:val="right" w:leader="dot" w:pos="9360"/>
        </w:tabs>
        <w:spacing w:after="120"/>
        <w:rPr>
          <w:rFonts w:asciiTheme="majorHAnsi" w:hAnsiTheme="majorHAnsi"/>
        </w:rPr>
      </w:pPr>
      <w:r>
        <w:rPr>
          <w:rFonts w:asciiTheme="majorHAnsi" w:hAnsiTheme="majorHAnsi"/>
        </w:rPr>
        <w:t>Annex A (informative) Bibliography</w:t>
      </w:r>
      <w:r>
        <w:rPr>
          <w:rFonts w:asciiTheme="majorHAnsi" w:hAnsiTheme="majorHAnsi"/>
        </w:rPr>
        <w:tab/>
        <w:t>9</w:t>
      </w:r>
    </w:p>
    <w:p w14:paraId="07E7B299" w14:textId="77777777" w:rsidR="0013010C" w:rsidRPr="008B5608" w:rsidRDefault="0013010C" w:rsidP="008B5608">
      <w:pPr>
        <w:tabs>
          <w:tab w:val="left" w:pos="360"/>
          <w:tab w:val="right" w:leader="dot" w:pos="9360"/>
        </w:tabs>
        <w:rPr>
          <w:rFonts w:asciiTheme="majorHAnsi" w:hAnsiTheme="majorHAnsi"/>
        </w:rPr>
      </w:pPr>
    </w:p>
    <w:p w14:paraId="5B39933F" w14:textId="77777777" w:rsidR="00537F01" w:rsidRPr="008B5608" w:rsidRDefault="00537F01" w:rsidP="008B5608">
      <w:pPr>
        <w:widowControl/>
        <w:tabs>
          <w:tab w:val="left" w:pos="360"/>
          <w:tab w:val="right" w:leader="dot" w:pos="9360"/>
        </w:tabs>
        <w:spacing w:after="240"/>
        <w:jc w:val="center"/>
        <w:rPr>
          <w:rFonts w:asciiTheme="majorHAnsi" w:hAnsiTheme="majorHAnsi"/>
        </w:rPr>
      </w:pPr>
    </w:p>
    <w:p w14:paraId="4AD2C608" w14:textId="77777777" w:rsidR="00FC14FA" w:rsidRPr="008B5608" w:rsidRDefault="00FC14FA" w:rsidP="008B5608">
      <w:pPr>
        <w:widowControl/>
        <w:tabs>
          <w:tab w:val="left" w:pos="360"/>
          <w:tab w:val="right" w:leader="dot" w:pos="9360"/>
        </w:tabs>
        <w:spacing w:after="240"/>
        <w:jc w:val="center"/>
        <w:rPr>
          <w:rFonts w:asciiTheme="majorHAnsi" w:hAnsiTheme="majorHAnsi"/>
        </w:rPr>
      </w:pPr>
    </w:p>
    <w:p w14:paraId="1303FB33" w14:textId="77777777" w:rsidR="00141BAA" w:rsidRPr="008B5608" w:rsidRDefault="00141BAA" w:rsidP="008B5608">
      <w:pPr>
        <w:widowControl/>
        <w:tabs>
          <w:tab w:val="left" w:pos="360"/>
          <w:tab w:val="right" w:leader="dot" w:pos="9360"/>
        </w:tabs>
        <w:spacing w:after="240"/>
        <w:rPr>
          <w:rFonts w:asciiTheme="majorHAnsi" w:eastAsia="Cambria" w:hAnsiTheme="majorHAnsi"/>
          <w:sz w:val="28"/>
          <w:szCs w:val="28"/>
        </w:rPr>
        <w:sectPr w:rsidR="00141BAA" w:rsidRPr="008B5608" w:rsidSect="00B6539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432" w:gutter="0"/>
          <w:pgNumType w:start="1"/>
          <w:cols w:space="720"/>
          <w:titlePg/>
        </w:sectPr>
      </w:pPr>
    </w:p>
    <w:p w14:paraId="1AC88249" w14:textId="77777777" w:rsidR="00FC14FA" w:rsidRPr="00B6539B" w:rsidRDefault="00FC14FA" w:rsidP="009A2E65">
      <w:pPr>
        <w:widowControl/>
        <w:spacing w:after="240"/>
        <w:jc w:val="center"/>
        <w:rPr>
          <w:rFonts w:asciiTheme="majorHAnsi" w:eastAsia="Cambria" w:hAnsiTheme="majorHAnsi"/>
          <w:sz w:val="28"/>
          <w:szCs w:val="28"/>
        </w:rPr>
      </w:pPr>
      <w:r w:rsidRPr="00B6539B">
        <w:rPr>
          <w:rFonts w:asciiTheme="majorHAnsi" w:eastAsia="Cambria" w:hAnsiTheme="majorHAnsi"/>
          <w:sz w:val="28"/>
          <w:szCs w:val="28"/>
        </w:rPr>
        <w:lastRenderedPageBreak/>
        <w:t>Standard Practices for Measurement Traceability in Forensic Toxicology</w:t>
      </w:r>
    </w:p>
    <w:p w14:paraId="193AEB2F" w14:textId="77777777" w:rsidR="00FC14FA" w:rsidRPr="00827F98" w:rsidRDefault="00FC14FA" w:rsidP="009A2E65">
      <w:pPr>
        <w:pStyle w:val="Heading1"/>
        <w:widowControl/>
        <w:numPr>
          <w:ilvl w:val="1"/>
          <w:numId w:val="7"/>
        </w:numPr>
        <w:tabs>
          <w:tab w:val="left" w:pos="360"/>
        </w:tabs>
        <w:spacing w:after="240"/>
        <w:ind w:left="0" w:firstLine="0"/>
        <w:jc w:val="both"/>
        <w:rPr>
          <w:rFonts w:asciiTheme="majorHAnsi" w:hAnsiTheme="majorHAnsi"/>
          <w:bCs w:val="0"/>
        </w:rPr>
      </w:pPr>
      <w:bookmarkStart w:id="0" w:name="_Toc494723949"/>
      <w:r w:rsidRPr="00827F98">
        <w:rPr>
          <w:rFonts w:asciiTheme="majorHAnsi" w:hAnsiTheme="majorHAnsi"/>
          <w:bCs w:val="0"/>
        </w:rPr>
        <w:t>Scope</w:t>
      </w:r>
      <w:bookmarkEnd w:id="0"/>
    </w:p>
    <w:p w14:paraId="045D3A8D" w14:textId="1A3113DC" w:rsidR="00537F01" w:rsidRPr="00827F98" w:rsidRDefault="00D159A0">
      <w:pPr>
        <w:pStyle w:val="BodyText"/>
        <w:widowControl/>
        <w:spacing w:after="240"/>
        <w:ind w:left="0"/>
        <w:jc w:val="both"/>
        <w:rPr>
          <w:rFonts w:asciiTheme="majorHAnsi" w:hAnsiTheme="majorHAnsi"/>
          <w:sz w:val="22"/>
          <w:szCs w:val="22"/>
        </w:rPr>
      </w:pPr>
      <w:r w:rsidRPr="00D159A0">
        <w:rPr>
          <w:rFonts w:asciiTheme="majorHAnsi" w:hAnsiTheme="majorHAnsi"/>
          <w:sz w:val="22"/>
          <w:szCs w:val="22"/>
        </w:rPr>
        <w:t>This standard defines the minimum</w:t>
      </w:r>
      <w:r w:rsidRPr="000E0C71">
        <w:rPr>
          <w:rFonts w:asciiTheme="majorHAnsi" w:hAnsiTheme="majorHAnsi"/>
          <w:sz w:val="22"/>
          <w:szCs w:val="22"/>
        </w:rPr>
        <w:t xml:space="preserve"> requirements for establishing measurement traceability in forensic toxicology laboratories. </w:t>
      </w:r>
    </w:p>
    <w:p w14:paraId="079BE9D9" w14:textId="77777777" w:rsidR="00537F01" w:rsidRPr="00827F98" w:rsidRDefault="00334E61">
      <w:pPr>
        <w:pStyle w:val="Heading1"/>
        <w:widowControl/>
        <w:numPr>
          <w:ilvl w:val="1"/>
          <w:numId w:val="7"/>
        </w:numPr>
        <w:tabs>
          <w:tab w:val="left" w:pos="360"/>
        </w:tabs>
        <w:spacing w:after="240"/>
        <w:ind w:left="360"/>
        <w:jc w:val="both"/>
        <w:rPr>
          <w:rFonts w:asciiTheme="majorHAnsi" w:hAnsiTheme="majorHAnsi"/>
          <w:b w:val="0"/>
          <w:bCs w:val="0"/>
          <w:szCs w:val="22"/>
        </w:rPr>
      </w:pPr>
      <w:bookmarkStart w:id="1" w:name="_Toc494723950"/>
      <w:r w:rsidRPr="00827F98">
        <w:rPr>
          <w:rFonts w:asciiTheme="majorHAnsi" w:hAnsiTheme="majorHAnsi"/>
          <w:szCs w:val="22"/>
        </w:rPr>
        <w:t>Normative References</w:t>
      </w:r>
      <w:bookmarkEnd w:id="1"/>
    </w:p>
    <w:p w14:paraId="0366ED46" w14:textId="77777777" w:rsidR="005201D6" w:rsidRDefault="005201D6">
      <w:pPr>
        <w:pStyle w:val="BodyText"/>
        <w:widowControl/>
        <w:spacing w:after="240"/>
        <w:ind w:left="0"/>
        <w:jc w:val="both"/>
        <w:rPr>
          <w:rFonts w:asciiTheme="majorHAnsi" w:hAnsiTheme="majorHAnsi"/>
          <w:sz w:val="22"/>
          <w:szCs w:val="22"/>
        </w:rPr>
      </w:pPr>
      <w:r w:rsidRPr="005201D6">
        <w:rPr>
          <w:rFonts w:asciiTheme="majorHAnsi" w:hAnsiTheme="majorHAnsi"/>
          <w:sz w:val="22"/>
          <w:szCs w:val="22"/>
        </w:rPr>
        <w:t>The following references are documents that are indispensable for the application of the standard. For dated references, only the edition cited applies. For undated references, the latest edition of the referenced document (including any amendments) applies.</w:t>
      </w:r>
    </w:p>
    <w:p w14:paraId="1EA935D4" w14:textId="77777777" w:rsidR="00537F01" w:rsidRPr="00827F98" w:rsidRDefault="00334E61">
      <w:pPr>
        <w:pStyle w:val="BodyText"/>
        <w:widowControl/>
        <w:spacing w:after="240"/>
        <w:ind w:left="0"/>
        <w:jc w:val="both"/>
        <w:rPr>
          <w:rFonts w:asciiTheme="majorHAnsi" w:hAnsiTheme="majorHAnsi"/>
          <w:sz w:val="22"/>
          <w:szCs w:val="22"/>
        </w:rPr>
      </w:pPr>
      <w:r w:rsidRPr="00827F98">
        <w:rPr>
          <w:rFonts w:asciiTheme="majorHAnsi" w:hAnsiTheme="majorHAnsi"/>
          <w:sz w:val="22"/>
          <w:szCs w:val="22"/>
        </w:rPr>
        <w:t>International Bureau of Weights and Measures (BIPM)-International Committee for</w:t>
      </w:r>
      <w:r w:rsidRPr="00827F98">
        <w:rPr>
          <w:rFonts w:asciiTheme="majorHAnsi" w:hAnsiTheme="majorHAnsi"/>
          <w:w w:val="99"/>
          <w:sz w:val="22"/>
          <w:szCs w:val="22"/>
        </w:rPr>
        <w:t xml:space="preserve"> </w:t>
      </w:r>
      <w:r w:rsidR="00F77D5B">
        <w:rPr>
          <w:rFonts w:asciiTheme="majorHAnsi" w:hAnsiTheme="majorHAnsi"/>
          <w:sz w:val="22"/>
          <w:szCs w:val="22"/>
        </w:rPr>
        <w:t>Weights and Measures (CIPM)</w:t>
      </w:r>
      <w:r w:rsidR="005C2C8F" w:rsidRPr="005C2C8F">
        <w:t xml:space="preserve"> </w:t>
      </w:r>
      <w:r w:rsidR="005C2C8F" w:rsidRPr="005C2C8F">
        <w:rPr>
          <w:rFonts w:asciiTheme="majorHAnsi" w:hAnsiTheme="majorHAnsi"/>
          <w:i/>
          <w:sz w:val="22"/>
          <w:szCs w:val="22"/>
        </w:rPr>
        <w:t>Mutual Recognition Arrangement</w:t>
      </w:r>
      <w:r w:rsidR="005C2C8F">
        <w:rPr>
          <w:rFonts w:asciiTheme="majorHAnsi" w:hAnsiTheme="majorHAnsi"/>
          <w:sz w:val="22"/>
          <w:szCs w:val="22"/>
        </w:rPr>
        <w:t xml:space="preserve"> </w:t>
      </w:r>
      <w:r w:rsidR="00F77D5B">
        <w:rPr>
          <w:rFonts w:asciiTheme="majorHAnsi" w:hAnsiTheme="majorHAnsi"/>
          <w:sz w:val="22"/>
          <w:szCs w:val="22"/>
        </w:rPr>
        <w:t xml:space="preserve"> </w:t>
      </w:r>
      <w:r w:rsidR="00F77D5B">
        <w:rPr>
          <w:rStyle w:val="FootnoteReference"/>
          <w:rFonts w:asciiTheme="majorHAnsi" w:hAnsiTheme="majorHAnsi"/>
          <w:sz w:val="22"/>
          <w:szCs w:val="22"/>
        </w:rPr>
        <w:footnoteReference w:id="1"/>
      </w:r>
      <w:r w:rsidR="00CC116A">
        <w:rPr>
          <w:rFonts w:asciiTheme="majorHAnsi" w:hAnsiTheme="majorHAnsi"/>
          <w:sz w:val="22"/>
          <w:szCs w:val="22"/>
        </w:rPr>
        <w:t xml:space="preserve"> </w:t>
      </w:r>
    </w:p>
    <w:p w14:paraId="1EB10156" w14:textId="77777777" w:rsidR="00206F29" w:rsidRDefault="00206F29" w:rsidP="009A3B1E">
      <w:pPr>
        <w:pStyle w:val="BodyText"/>
        <w:widowControl/>
        <w:spacing w:after="240"/>
        <w:ind w:left="0"/>
        <w:jc w:val="both"/>
        <w:rPr>
          <w:rFonts w:asciiTheme="majorHAnsi" w:hAnsiTheme="majorHAnsi"/>
          <w:i/>
          <w:sz w:val="22"/>
          <w:szCs w:val="22"/>
        </w:rPr>
      </w:pPr>
      <w:r w:rsidRPr="00827F98">
        <w:rPr>
          <w:rFonts w:asciiTheme="majorHAnsi" w:hAnsiTheme="majorHAnsi"/>
          <w:sz w:val="22"/>
          <w:szCs w:val="22"/>
        </w:rPr>
        <w:t>International Laboratory Accreditation Cooperation (ILAC)</w:t>
      </w:r>
      <w:r w:rsidR="00FB1CC2">
        <w:rPr>
          <w:rFonts w:asciiTheme="majorHAnsi" w:hAnsiTheme="majorHAnsi"/>
          <w:sz w:val="22"/>
          <w:szCs w:val="22"/>
        </w:rPr>
        <w:t xml:space="preserve">, ILAC P10:01/2013 </w:t>
      </w:r>
      <w:r w:rsidR="00FB1CC2" w:rsidRPr="005A64DE">
        <w:rPr>
          <w:rFonts w:asciiTheme="majorHAnsi" w:hAnsiTheme="majorHAnsi"/>
          <w:i/>
          <w:sz w:val="22"/>
          <w:szCs w:val="22"/>
        </w:rPr>
        <w:t>ILAC Policy on Traceability of Measurement Results</w:t>
      </w:r>
      <w:r w:rsidR="00F77D5B">
        <w:rPr>
          <w:rFonts w:asciiTheme="majorHAnsi" w:hAnsiTheme="majorHAnsi"/>
          <w:i/>
          <w:sz w:val="22"/>
          <w:szCs w:val="22"/>
        </w:rPr>
        <w:t xml:space="preserve"> </w:t>
      </w:r>
      <w:r w:rsidR="00F77D5B" w:rsidRPr="00F77D5B">
        <w:rPr>
          <w:rStyle w:val="FootnoteReference"/>
          <w:rFonts w:asciiTheme="majorHAnsi" w:hAnsiTheme="majorHAnsi"/>
          <w:sz w:val="22"/>
          <w:szCs w:val="22"/>
        </w:rPr>
        <w:footnoteReference w:id="2"/>
      </w:r>
    </w:p>
    <w:p w14:paraId="078CF6CB" w14:textId="77777777" w:rsidR="005C2C8F" w:rsidRDefault="005C2C8F" w:rsidP="009A3B1E">
      <w:pPr>
        <w:pStyle w:val="BodyText"/>
        <w:widowControl/>
        <w:spacing w:after="240"/>
        <w:ind w:left="0"/>
        <w:jc w:val="both"/>
        <w:rPr>
          <w:rFonts w:asciiTheme="majorHAnsi" w:hAnsiTheme="majorHAnsi"/>
          <w:sz w:val="22"/>
          <w:szCs w:val="22"/>
        </w:rPr>
      </w:pPr>
      <w:r>
        <w:rPr>
          <w:rFonts w:asciiTheme="majorHAnsi" w:hAnsiTheme="majorHAnsi"/>
          <w:sz w:val="22"/>
          <w:szCs w:val="22"/>
        </w:rPr>
        <w:t xml:space="preserve">International </w:t>
      </w:r>
      <w:r w:rsidRPr="005C2C8F">
        <w:rPr>
          <w:rFonts w:asciiTheme="majorHAnsi" w:hAnsiTheme="majorHAnsi"/>
          <w:sz w:val="22"/>
          <w:szCs w:val="22"/>
        </w:rPr>
        <w:t xml:space="preserve">Laboratory Accreditation Cooperation (ILAC) </w:t>
      </w:r>
      <w:r w:rsidRPr="005C2C8F">
        <w:rPr>
          <w:rFonts w:asciiTheme="majorHAnsi" w:hAnsiTheme="majorHAnsi"/>
          <w:i/>
          <w:sz w:val="22"/>
          <w:szCs w:val="22"/>
        </w:rPr>
        <w:t>Mutual Recognition Arrangement</w:t>
      </w:r>
      <w:r>
        <w:rPr>
          <w:rFonts w:asciiTheme="majorHAnsi" w:hAnsiTheme="majorHAnsi"/>
          <w:i/>
          <w:sz w:val="22"/>
          <w:szCs w:val="22"/>
        </w:rPr>
        <w:t xml:space="preserve"> </w:t>
      </w:r>
      <w:r w:rsidRPr="005C2C8F">
        <w:rPr>
          <w:rFonts w:asciiTheme="majorHAnsi" w:hAnsiTheme="majorHAnsi"/>
          <w:sz w:val="22"/>
          <w:szCs w:val="22"/>
          <w:vertAlign w:val="superscript"/>
        </w:rPr>
        <w:t>3</w:t>
      </w:r>
    </w:p>
    <w:p w14:paraId="45E48637" w14:textId="77777777" w:rsidR="00206F29" w:rsidRPr="00827F98" w:rsidRDefault="00206F29" w:rsidP="009A3B1E">
      <w:pPr>
        <w:pStyle w:val="BodyText"/>
        <w:widowControl/>
        <w:spacing w:after="240"/>
        <w:ind w:left="0"/>
        <w:jc w:val="both"/>
        <w:rPr>
          <w:rFonts w:asciiTheme="majorHAnsi" w:hAnsiTheme="majorHAnsi"/>
          <w:sz w:val="22"/>
          <w:szCs w:val="22"/>
        </w:rPr>
      </w:pPr>
      <w:r w:rsidRPr="00827F98">
        <w:rPr>
          <w:rFonts w:asciiTheme="majorHAnsi" w:hAnsiTheme="majorHAnsi"/>
          <w:sz w:val="22"/>
          <w:szCs w:val="22"/>
        </w:rPr>
        <w:t xml:space="preserve">International Organization for </w:t>
      </w:r>
      <w:r w:rsidR="00CE1A53">
        <w:rPr>
          <w:rFonts w:asciiTheme="majorHAnsi" w:hAnsiTheme="majorHAnsi"/>
          <w:sz w:val="22"/>
          <w:szCs w:val="22"/>
        </w:rPr>
        <w:t>Standardization (ISO), ISO</w:t>
      </w:r>
      <w:r w:rsidR="00682EFA">
        <w:rPr>
          <w:rFonts w:asciiTheme="majorHAnsi" w:hAnsiTheme="majorHAnsi"/>
          <w:sz w:val="22"/>
          <w:szCs w:val="22"/>
        </w:rPr>
        <w:t>/IEC</w:t>
      </w:r>
      <w:r w:rsidRPr="00827F98">
        <w:rPr>
          <w:rFonts w:asciiTheme="majorHAnsi" w:hAnsiTheme="majorHAnsi"/>
          <w:sz w:val="22"/>
          <w:szCs w:val="22"/>
        </w:rPr>
        <w:t xml:space="preserve"> </w:t>
      </w:r>
      <w:r>
        <w:rPr>
          <w:rFonts w:asciiTheme="majorHAnsi" w:hAnsiTheme="majorHAnsi"/>
          <w:sz w:val="22"/>
          <w:szCs w:val="22"/>
        </w:rPr>
        <w:t>17025</w:t>
      </w:r>
      <w:r w:rsidRPr="00827F98">
        <w:rPr>
          <w:rFonts w:asciiTheme="majorHAnsi" w:hAnsiTheme="majorHAnsi"/>
          <w:sz w:val="22"/>
          <w:szCs w:val="22"/>
        </w:rPr>
        <w:t>:200</w:t>
      </w:r>
      <w:r>
        <w:rPr>
          <w:rFonts w:asciiTheme="majorHAnsi" w:hAnsiTheme="majorHAnsi"/>
          <w:sz w:val="22"/>
          <w:szCs w:val="22"/>
        </w:rPr>
        <w:t>5</w:t>
      </w:r>
      <w:r w:rsidRPr="00827F98">
        <w:rPr>
          <w:rFonts w:asciiTheme="majorHAnsi" w:hAnsiTheme="majorHAnsi"/>
          <w:sz w:val="22"/>
          <w:szCs w:val="22"/>
        </w:rPr>
        <w:t xml:space="preserve"> </w:t>
      </w:r>
      <w:r w:rsidRPr="005A64DE">
        <w:rPr>
          <w:rFonts w:asciiTheme="majorHAnsi" w:hAnsiTheme="majorHAnsi"/>
          <w:i/>
          <w:sz w:val="22"/>
          <w:szCs w:val="22"/>
        </w:rPr>
        <w:t>General requirements for the competence of testing and calibration laboratories</w:t>
      </w:r>
      <w:r w:rsidRPr="00827F98">
        <w:rPr>
          <w:rFonts w:asciiTheme="majorHAnsi" w:hAnsiTheme="majorHAnsi"/>
          <w:sz w:val="22"/>
          <w:szCs w:val="22"/>
        </w:rPr>
        <w:t xml:space="preserve"> (Geneva, </w:t>
      </w:r>
      <w:r w:rsidRPr="00827F98">
        <w:rPr>
          <w:rFonts w:asciiTheme="majorHAnsi" w:hAnsiTheme="majorHAnsi"/>
          <w:w w:val="95"/>
          <w:sz w:val="22"/>
          <w:szCs w:val="22"/>
        </w:rPr>
        <w:t>Switzerland: ISO,</w:t>
      </w:r>
      <w:r>
        <w:rPr>
          <w:rFonts w:asciiTheme="majorHAnsi" w:hAnsiTheme="majorHAnsi"/>
          <w:w w:val="95"/>
          <w:sz w:val="22"/>
          <w:szCs w:val="22"/>
        </w:rPr>
        <w:t xml:space="preserve"> </w:t>
      </w:r>
      <w:r w:rsidRPr="00827F98">
        <w:rPr>
          <w:rFonts w:asciiTheme="majorHAnsi" w:hAnsiTheme="majorHAnsi"/>
          <w:w w:val="95"/>
          <w:sz w:val="22"/>
          <w:szCs w:val="22"/>
        </w:rPr>
        <w:t>200</w:t>
      </w:r>
      <w:r>
        <w:rPr>
          <w:rFonts w:asciiTheme="majorHAnsi" w:hAnsiTheme="majorHAnsi"/>
          <w:w w:val="95"/>
          <w:sz w:val="22"/>
          <w:szCs w:val="22"/>
        </w:rPr>
        <w:t>5</w:t>
      </w:r>
      <w:r w:rsidR="00CE1A53">
        <w:rPr>
          <w:rFonts w:asciiTheme="majorHAnsi" w:hAnsiTheme="majorHAnsi"/>
          <w:w w:val="95"/>
          <w:sz w:val="22"/>
          <w:szCs w:val="22"/>
        </w:rPr>
        <w:t xml:space="preserve">) </w:t>
      </w:r>
      <w:r w:rsidR="00CE1A53">
        <w:rPr>
          <w:rStyle w:val="FootnoteReference"/>
          <w:rFonts w:asciiTheme="majorHAnsi" w:hAnsiTheme="majorHAnsi"/>
          <w:w w:val="95"/>
          <w:sz w:val="22"/>
          <w:szCs w:val="22"/>
        </w:rPr>
        <w:footnoteReference w:id="3"/>
      </w:r>
    </w:p>
    <w:p w14:paraId="6AFDB5DC" w14:textId="77777777" w:rsidR="00B44D53" w:rsidRDefault="00334E61" w:rsidP="009A3B1E">
      <w:pPr>
        <w:pStyle w:val="BodyText"/>
        <w:widowControl/>
        <w:spacing w:after="240"/>
        <w:ind w:left="0"/>
        <w:jc w:val="both"/>
        <w:rPr>
          <w:rFonts w:asciiTheme="majorHAnsi" w:hAnsiTheme="majorHAnsi"/>
          <w:sz w:val="22"/>
          <w:szCs w:val="22"/>
        </w:rPr>
      </w:pPr>
      <w:r w:rsidRPr="00827F98">
        <w:rPr>
          <w:rFonts w:asciiTheme="majorHAnsi" w:hAnsiTheme="majorHAnsi"/>
          <w:sz w:val="22"/>
          <w:szCs w:val="22"/>
        </w:rPr>
        <w:t xml:space="preserve">International Organization for </w:t>
      </w:r>
      <w:r w:rsidR="00CE1A53">
        <w:rPr>
          <w:rFonts w:asciiTheme="majorHAnsi" w:hAnsiTheme="majorHAnsi"/>
          <w:sz w:val="22"/>
          <w:szCs w:val="22"/>
        </w:rPr>
        <w:t>Standardization (ISO), ISO</w:t>
      </w:r>
      <w:r w:rsidRPr="00827F98">
        <w:rPr>
          <w:rFonts w:asciiTheme="majorHAnsi" w:hAnsiTheme="majorHAnsi"/>
          <w:sz w:val="22"/>
          <w:szCs w:val="22"/>
        </w:rPr>
        <w:t xml:space="preserve"> </w:t>
      </w:r>
      <w:r w:rsidR="005C2C8F">
        <w:rPr>
          <w:rFonts w:asciiTheme="majorHAnsi" w:hAnsiTheme="majorHAnsi"/>
          <w:sz w:val="22"/>
          <w:szCs w:val="22"/>
        </w:rPr>
        <w:t xml:space="preserve">Guide </w:t>
      </w:r>
      <w:r w:rsidRPr="00827F98">
        <w:rPr>
          <w:rFonts w:asciiTheme="majorHAnsi" w:hAnsiTheme="majorHAnsi"/>
          <w:sz w:val="22"/>
          <w:szCs w:val="22"/>
        </w:rPr>
        <w:t xml:space="preserve">34:2009 </w:t>
      </w:r>
      <w:r w:rsidRPr="005A64DE">
        <w:rPr>
          <w:rFonts w:asciiTheme="majorHAnsi" w:hAnsiTheme="majorHAnsi"/>
          <w:i/>
          <w:sz w:val="22"/>
          <w:szCs w:val="22"/>
        </w:rPr>
        <w:t>General requirements for the competence of reference material producers</w:t>
      </w:r>
      <w:r w:rsidRPr="00827F98">
        <w:rPr>
          <w:rFonts w:asciiTheme="majorHAnsi" w:hAnsiTheme="majorHAnsi"/>
          <w:sz w:val="22"/>
          <w:szCs w:val="22"/>
        </w:rPr>
        <w:t xml:space="preserve"> (Geneva, </w:t>
      </w:r>
      <w:r w:rsidR="00B44D53" w:rsidRPr="00827F98">
        <w:rPr>
          <w:rFonts w:asciiTheme="majorHAnsi" w:hAnsiTheme="majorHAnsi"/>
          <w:w w:val="95"/>
          <w:sz w:val="22"/>
          <w:szCs w:val="22"/>
        </w:rPr>
        <w:t>Switzerland: ISO,</w:t>
      </w:r>
      <w:r w:rsidR="005201D6">
        <w:rPr>
          <w:rFonts w:asciiTheme="majorHAnsi" w:hAnsiTheme="majorHAnsi"/>
          <w:w w:val="95"/>
          <w:sz w:val="22"/>
          <w:szCs w:val="22"/>
        </w:rPr>
        <w:t xml:space="preserve"> </w:t>
      </w:r>
      <w:r w:rsidR="00CE1A53">
        <w:rPr>
          <w:rFonts w:asciiTheme="majorHAnsi" w:hAnsiTheme="majorHAnsi"/>
          <w:w w:val="95"/>
          <w:sz w:val="22"/>
          <w:szCs w:val="22"/>
        </w:rPr>
        <w:t>2009)</w:t>
      </w:r>
      <w:r w:rsidR="005C2C8F" w:rsidRPr="005C2C8F">
        <w:rPr>
          <w:rFonts w:asciiTheme="majorHAnsi" w:hAnsiTheme="majorHAnsi"/>
          <w:w w:val="95"/>
          <w:sz w:val="22"/>
          <w:szCs w:val="22"/>
          <w:vertAlign w:val="superscript"/>
        </w:rPr>
        <w:t xml:space="preserve"> 4</w:t>
      </w:r>
    </w:p>
    <w:p w14:paraId="22369682" w14:textId="77777777" w:rsidR="00FB1CC2" w:rsidRPr="00827F98" w:rsidRDefault="00FB1CC2" w:rsidP="009A3B1E">
      <w:pPr>
        <w:pStyle w:val="BodyText"/>
        <w:widowControl/>
        <w:spacing w:after="240"/>
        <w:ind w:left="0"/>
        <w:jc w:val="both"/>
        <w:rPr>
          <w:rFonts w:asciiTheme="majorHAnsi" w:hAnsiTheme="majorHAnsi"/>
          <w:sz w:val="22"/>
          <w:szCs w:val="22"/>
        </w:rPr>
      </w:pPr>
      <w:r w:rsidRPr="00827F98">
        <w:rPr>
          <w:rFonts w:asciiTheme="majorHAnsi" w:hAnsiTheme="majorHAnsi"/>
          <w:sz w:val="22"/>
          <w:szCs w:val="22"/>
        </w:rPr>
        <w:t xml:space="preserve">International Organization for Standardization (ISO), ISO </w:t>
      </w:r>
      <w:r>
        <w:rPr>
          <w:rFonts w:asciiTheme="majorHAnsi" w:hAnsiTheme="majorHAnsi"/>
          <w:sz w:val="22"/>
          <w:szCs w:val="22"/>
        </w:rPr>
        <w:t>170</w:t>
      </w:r>
      <w:r w:rsidRPr="00827F98">
        <w:rPr>
          <w:rFonts w:asciiTheme="majorHAnsi" w:hAnsiTheme="majorHAnsi"/>
          <w:sz w:val="22"/>
          <w:szCs w:val="22"/>
        </w:rPr>
        <w:t>34</w:t>
      </w:r>
      <w:r w:rsidRPr="00CE1A53">
        <w:rPr>
          <w:rFonts w:asciiTheme="majorHAnsi" w:hAnsiTheme="majorHAnsi"/>
          <w:sz w:val="22"/>
          <w:szCs w:val="22"/>
        </w:rPr>
        <w:t>:2016</w:t>
      </w:r>
      <w:r w:rsidRPr="005A64DE">
        <w:rPr>
          <w:rFonts w:asciiTheme="majorHAnsi" w:hAnsiTheme="majorHAnsi"/>
          <w:i/>
          <w:sz w:val="22"/>
          <w:szCs w:val="22"/>
        </w:rPr>
        <w:t xml:space="preserve"> General requirements for the competence of reference material producers</w:t>
      </w:r>
      <w:r w:rsidRPr="00827F98">
        <w:rPr>
          <w:rFonts w:asciiTheme="majorHAnsi" w:hAnsiTheme="majorHAnsi"/>
          <w:sz w:val="22"/>
          <w:szCs w:val="22"/>
        </w:rPr>
        <w:t xml:space="preserve"> (Geneva, </w:t>
      </w:r>
      <w:r w:rsidRPr="00827F98">
        <w:rPr>
          <w:rFonts w:asciiTheme="majorHAnsi" w:hAnsiTheme="majorHAnsi"/>
          <w:w w:val="95"/>
          <w:sz w:val="22"/>
          <w:szCs w:val="22"/>
        </w:rPr>
        <w:t>Switzerland: ISO,</w:t>
      </w:r>
      <w:r>
        <w:rPr>
          <w:rFonts w:asciiTheme="majorHAnsi" w:hAnsiTheme="majorHAnsi"/>
          <w:w w:val="95"/>
          <w:sz w:val="22"/>
          <w:szCs w:val="22"/>
        </w:rPr>
        <w:t xml:space="preserve"> </w:t>
      </w:r>
      <w:r w:rsidRPr="00827F98">
        <w:rPr>
          <w:rFonts w:asciiTheme="majorHAnsi" w:hAnsiTheme="majorHAnsi"/>
          <w:w w:val="95"/>
          <w:sz w:val="22"/>
          <w:szCs w:val="22"/>
        </w:rPr>
        <w:t>20</w:t>
      </w:r>
      <w:r>
        <w:rPr>
          <w:rFonts w:asciiTheme="majorHAnsi" w:hAnsiTheme="majorHAnsi"/>
          <w:w w:val="95"/>
          <w:sz w:val="22"/>
          <w:szCs w:val="22"/>
        </w:rPr>
        <w:t>16</w:t>
      </w:r>
      <w:r w:rsidR="00CE1A53">
        <w:rPr>
          <w:rFonts w:asciiTheme="majorHAnsi" w:hAnsiTheme="majorHAnsi"/>
          <w:w w:val="95"/>
          <w:sz w:val="22"/>
          <w:szCs w:val="22"/>
        </w:rPr>
        <w:t>)</w:t>
      </w:r>
      <w:r w:rsidR="005C2C8F" w:rsidRPr="005C2C8F">
        <w:rPr>
          <w:rFonts w:asciiTheme="majorHAnsi" w:hAnsiTheme="majorHAnsi"/>
          <w:w w:val="95"/>
          <w:sz w:val="22"/>
          <w:szCs w:val="22"/>
          <w:vertAlign w:val="superscript"/>
        </w:rPr>
        <w:t xml:space="preserve"> 4</w:t>
      </w:r>
    </w:p>
    <w:p w14:paraId="2338CE1F" w14:textId="77777777" w:rsidR="00537F01" w:rsidRPr="00827F98" w:rsidRDefault="00334E61" w:rsidP="009A3B1E">
      <w:pPr>
        <w:pStyle w:val="BodyText"/>
        <w:widowControl/>
        <w:spacing w:after="240"/>
        <w:ind w:left="0"/>
        <w:jc w:val="both"/>
        <w:rPr>
          <w:rFonts w:asciiTheme="majorHAnsi" w:hAnsiTheme="majorHAnsi"/>
          <w:sz w:val="22"/>
          <w:szCs w:val="22"/>
        </w:rPr>
      </w:pPr>
      <w:r w:rsidRPr="00827F98">
        <w:rPr>
          <w:rFonts w:asciiTheme="majorHAnsi" w:hAnsiTheme="majorHAnsi"/>
          <w:sz w:val="22"/>
          <w:szCs w:val="22"/>
        </w:rPr>
        <w:t xml:space="preserve">Joint Committee for Guides in Metrology (JCGM), </w:t>
      </w:r>
      <w:r w:rsidRPr="00827F98">
        <w:rPr>
          <w:rFonts w:asciiTheme="majorHAnsi" w:hAnsiTheme="majorHAnsi"/>
          <w:i/>
          <w:sz w:val="22"/>
          <w:szCs w:val="22"/>
        </w:rPr>
        <w:t>International vocabulary of metrology</w:t>
      </w:r>
      <w:r w:rsidR="00B44D53" w:rsidRPr="00827F98">
        <w:rPr>
          <w:rFonts w:asciiTheme="majorHAnsi" w:hAnsiTheme="majorHAnsi"/>
          <w:i/>
          <w:sz w:val="22"/>
          <w:szCs w:val="22"/>
        </w:rPr>
        <w:t xml:space="preserve"> </w:t>
      </w:r>
      <w:r w:rsidRPr="00827F98">
        <w:rPr>
          <w:rFonts w:asciiTheme="majorHAnsi" w:hAnsiTheme="majorHAnsi" w:cs="Cambria"/>
          <w:i/>
          <w:sz w:val="22"/>
          <w:szCs w:val="22"/>
        </w:rPr>
        <w:t>– Basic</w:t>
      </w:r>
      <w:r w:rsidR="00FC14FA" w:rsidRPr="00827F98">
        <w:rPr>
          <w:rFonts w:asciiTheme="majorHAnsi" w:hAnsiTheme="majorHAnsi" w:cs="Cambria"/>
          <w:i/>
          <w:sz w:val="22"/>
          <w:szCs w:val="22"/>
        </w:rPr>
        <w:t xml:space="preserve"> </w:t>
      </w:r>
      <w:r w:rsidRPr="00827F98">
        <w:rPr>
          <w:rFonts w:asciiTheme="majorHAnsi" w:hAnsiTheme="majorHAnsi" w:cs="Cambria"/>
          <w:i/>
          <w:sz w:val="22"/>
          <w:szCs w:val="22"/>
        </w:rPr>
        <w:t>and general concepts and</w:t>
      </w:r>
      <w:r w:rsidR="00FC14FA" w:rsidRPr="00827F98">
        <w:rPr>
          <w:rFonts w:asciiTheme="majorHAnsi" w:hAnsiTheme="majorHAnsi" w:cs="Cambria"/>
          <w:i/>
          <w:sz w:val="22"/>
          <w:szCs w:val="22"/>
        </w:rPr>
        <w:t xml:space="preserve"> </w:t>
      </w:r>
      <w:r w:rsidRPr="00827F98">
        <w:rPr>
          <w:rFonts w:asciiTheme="majorHAnsi" w:hAnsiTheme="majorHAnsi" w:cs="Cambria"/>
          <w:i/>
          <w:sz w:val="22"/>
          <w:szCs w:val="22"/>
        </w:rPr>
        <w:t xml:space="preserve">associated terms </w:t>
      </w:r>
      <w:r w:rsidRPr="00827F98">
        <w:rPr>
          <w:rFonts w:asciiTheme="majorHAnsi" w:hAnsiTheme="majorHAnsi" w:cs="Cambria"/>
          <w:sz w:val="22"/>
          <w:szCs w:val="22"/>
        </w:rPr>
        <w:t>(</w:t>
      </w:r>
      <w:r w:rsidRPr="009457C5">
        <w:rPr>
          <w:rFonts w:asciiTheme="majorHAnsi" w:hAnsiTheme="majorHAnsi" w:cs="Cambria"/>
          <w:bCs/>
          <w:sz w:val="22"/>
          <w:szCs w:val="22"/>
        </w:rPr>
        <w:t>VIM</w:t>
      </w:r>
      <w:r w:rsidRPr="00827F98">
        <w:rPr>
          <w:rFonts w:asciiTheme="majorHAnsi" w:hAnsiTheme="majorHAnsi" w:cs="Cambria"/>
          <w:sz w:val="22"/>
          <w:szCs w:val="22"/>
        </w:rPr>
        <w:t>)</w:t>
      </w:r>
      <w:r w:rsidRPr="00827F98">
        <w:rPr>
          <w:rFonts w:asciiTheme="majorHAnsi" w:hAnsiTheme="majorHAnsi" w:cs="Cambria"/>
          <w:i/>
          <w:sz w:val="22"/>
          <w:szCs w:val="22"/>
        </w:rPr>
        <w:t xml:space="preserve">, </w:t>
      </w:r>
      <w:r w:rsidRPr="00827F98">
        <w:rPr>
          <w:rFonts w:asciiTheme="majorHAnsi" w:hAnsiTheme="majorHAnsi" w:cs="Cambria"/>
          <w:sz w:val="22"/>
          <w:szCs w:val="22"/>
        </w:rPr>
        <w:t>3rd ed</w:t>
      </w:r>
      <w:r w:rsidRPr="00827F98">
        <w:rPr>
          <w:rFonts w:asciiTheme="majorHAnsi" w:hAnsiTheme="majorHAnsi" w:cs="Cambria"/>
          <w:i/>
          <w:sz w:val="22"/>
          <w:szCs w:val="22"/>
        </w:rPr>
        <w:t xml:space="preserve">. </w:t>
      </w:r>
      <w:r w:rsidRPr="00827F98">
        <w:rPr>
          <w:rFonts w:asciiTheme="majorHAnsi" w:hAnsiTheme="majorHAnsi" w:cs="Cambria"/>
          <w:sz w:val="22"/>
          <w:szCs w:val="22"/>
        </w:rPr>
        <w:t>(</w:t>
      </w:r>
      <w:proofErr w:type="spellStart"/>
      <w:r w:rsidRPr="00827F98">
        <w:rPr>
          <w:rFonts w:asciiTheme="majorHAnsi" w:hAnsiTheme="majorHAnsi" w:cs="Cambria"/>
          <w:sz w:val="22"/>
          <w:szCs w:val="22"/>
        </w:rPr>
        <w:t>Sèvres</w:t>
      </w:r>
      <w:proofErr w:type="spellEnd"/>
      <w:r w:rsidRPr="00827F98">
        <w:rPr>
          <w:rFonts w:asciiTheme="majorHAnsi" w:hAnsiTheme="majorHAnsi" w:cs="Cambria"/>
          <w:sz w:val="22"/>
          <w:szCs w:val="22"/>
        </w:rPr>
        <w:t>, France:</w:t>
      </w:r>
      <w:r w:rsidRPr="00827F98">
        <w:rPr>
          <w:rFonts w:asciiTheme="majorHAnsi" w:hAnsiTheme="majorHAnsi" w:cs="Cambria"/>
          <w:w w:val="99"/>
          <w:sz w:val="22"/>
          <w:szCs w:val="22"/>
        </w:rPr>
        <w:t xml:space="preserve"> </w:t>
      </w:r>
      <w:r w:rsidRPr="00827F98">
        <w:rPr>
          <w:rFonts w:asciiTheme="majorHAnsi" w:hAnsiTheme="majorHAnsi" w:cs="Cambria"/>
          <w:sz w:val="22"/>
          <w:szCs w:val="22"/>
        </w:rPr>
        <w:t>International Bureau of Weights and Measures [BIPM]-JCGM 200, 2012) (2008 with</w:t>
      </w:r>
      <w:r w:rsidRPr="00827F98">
        <w:rPr>
          <w:rFonts w:asciiTheme="majorHAnsi" w:hAnsiTheme="majorHAnsi" w:cs="Cambria"/>
          <w:w w:val="99"/>
          <w:sz w:val="22"/>
          <w:szCs w:val="22"/>
        </w:rPr>
        <w:t xml:space="preserve"> </w:t>
      </w:r>
      <w:r w:rsidR="00CE1A53">
        <w:rPr>
          <w:rFonts w:asciiTheme="majorHAnsi" w:hAnsiTheme="majorHAnsi" w:cs="Cambria"/>
          <w:sz w:val="22"/>
          <w:szCs w:val="22"/>
        </w:rPr>
        <w:t xml:space="preserve">minor corrections) </w:t>
      </w:r>
      <w:r w:rsidR="00CE1A53">
        <w:rPr>
          <w:rStyle w:val="FootnoteReference"/>
          <w:rFonts w:asciiTheme="majorHAnsi" w:hAnsiTheme="majorHAnsi" w:cs="Cambria"/>
          <w:sz w:val="22"/>
          <w:szCs w:val="22"/>
        </w:rPr>
        <w:footnoteReference w:id="4"/>
      </w:r>
    </w:p>
    <w:p w14:paraId="55484D62" w14:textId="77777777" w:rsidR="00537F01" w:rsidRPr="005201D6" w:rsidRDefault="00334E61" w:rsidP="009457C5">
      <w:pPr>
        <w:pStyle w:val="Heading1"/>
        <w:widowControl/>
        <w:numPr>
          <w:ilvl w:val="1"/>
          <w:numId w:val="7"/>
        </w:numPr>
        <w:tabs>
          <w:tab w:val="left" w:pos="360"/>
        </w:tabs>
        <w:spacing w:after="240"/>
        <w:ind w:left="360"/>
        <w:jc w:val="both"/>
        <w:rPr>
          <w:rFonts w:asciiTheme="majorHAnsi" w:hAnsiTheme="majorHAnsi"/>
          <w:b w:val="0"/>
          <w:bCs w:val="0"/>
        </w:rPr>
      </w:pPr>
      <w:bookmarkStart w:id="2" w:name="_Toc494723951"/>
      <w:r w:rsidRPr="00827F98">
        <w:rPr>
          <w:rFonts w:asciiTheme="majorHAnsi" w:hAnsiTheme="majorHAnsi"/>
        </w:rPr>
        <w:t>Terms and Definitions</w:t>
      </w:r>
      <w:bookmarkEnd w:id="2"/>
    </w:p>
    <w:p w14:paraId="51CD8570" w14:textId="77777777" w:rsidR="005201D6" w:rsidRDefault="005201D6" w:rsidP="009457C5">
      <w:pPr>
        <w:pStyle w:val="BodyText"/>
        <w:ind w:left="0"/>
        <w:jc w:val="both"/>
        <w:rPr>
          <w:sz w:val="22"/>
        </w:rPr>
      </w:pPr>
      <w:r w:rsidRPr="00C25CDE">
        <w:rPr>
          <w:sz w:val="22"/>
        </w:rPr>
        <w:t>For purposes of this document, the following definitions and acronyms apply.</w:t>
      </w:r>
    </w:p>
    <w:p w14:paraId="5484F58C" w14:textId="77777777" w:rsidR="00C25CDE" w:rsidRPr="009A3B1E" w:rsidRDefault="00C25CDE" w:rsidP="009457C5">
      <w:pPr>
        <w:pStyle w:val="BodyText"/>
        <w:ind w:left="0"/>
        <w:jc w:val="both"/>
        <w:rPr>
          <w:b/>
          <w:bCs/>
          <w:sz w:val="22"/>
        </w:rPr>
      </w:pPr>
    </w:p>
    <w:p w14:paraId="5C1FC4B4" w14:textId="5FD73A13" w:rsidR="00E9574B" w:rsidRDefault="00B44D53" w:rsidP="009457C5">
      <w:pPr>
        <w:pStyle w:val="BodyText"/>
        <w:keepLines/>
        <w:widowControl/>
        <w:numPr>
          <w:ilvl w:val="2"/>
          <w:numId w:val="7"/>
        </w:numPr>
        <w:ind w:left="0" w:firstLine="0"/>
        <w:rPr>
          <w:rFonts w:asciiTheme="majorHAnsi" w:hAnsiTheme="majorHAnsi"/>
          <w:sz w:val="22"/>
          <w:szCs w:val="22"/>
        </w:rPr>
      </w:pPr>
      <w:r w:rsidRPr="00827F98">
        <w:rPr>
          <w:rFonts w:asciiTheme="majorHAnsi" w:hAnsiTheme="majorHAnsi"/>
          <w:i/>
          <w:sz w:val="22"/>
          <w:szCs w:val="22"/>
        </w:rPr>
        <w:br/>
      </w:r>
      <w:r w:rsidRPr="00827F98">
        <w:rPr>
          <w:rFonts w:asciiTheme="majorHAnsi" w:hAnsiTheme="majorHAnsi"/>
          <w:b/>
          <w:sz w:val="22"/>
          <w:szCs w:val="22"/>
        </w:rPr>
        <w:t>a</w:t>
      </w:r>
      <w:r w:rsidR="00334E61" w:rsidRPr="00827F98">
        <w:rPr>
          <w:rFonts w:asciiTheme="majorHAnsi" w:hAnsiTheme="majorHAnsi"/>
          <w:b/>
          <w:sz w:val="22"/>
          <w:szCs w:val="22"/>
        </w:rPr>
        <w:t>ccreditation</w:t>
      </w:r>
      <w:r w:rsidR="00E9574B">
        <w:rPr>
          <w:rFonts w:asciiTheme="majorHAnsi" w:hAnsiTheme="majorHAnsi"/>
          <w:b/>
          <w:sz w:val="22"/>
          <w:szCs w:val="22"/>
        </w:rPr>
        <w:t xml:space="preserve"> </w:t>
      </w:r>
      <w:r w:rsidR="00E9574B">
        <w:rPr>
          <w:rStyle w:val="FootnoteReference"/>
          <w:rFonts w:asciiTheme="majorHAnsi" w:hAnsiTheme="majorHAnsi"/>
          <w:b/>
          <w:sz w:val="22"/>
          <w:szCs w:val="22"/>
        </w:rPr>
        <w:footnoteReference w:id="5"/>
      </w:r>
      <w:r w:rsidR="0005623F">
        <w:rPr>
          <w:rFonts w:asciiTheme="majorHAnsi" w:hAnsiTheme="majorHAnsi"/>
          <w:b/>
          <w:sz w:val="22"/>
          <w:szCs w:val="22"/>
        </w:rPr>
        <w:t xml:space="preserve"> </w:t>
      </w:r>
    </w:p>
    <w:p w14:paraId="0BCCF03A" w14:textId="49CA2068" w:rsidR="00537F01" w:rsidRDefault="00B44D53" w:rsidP="00B6539B">
      <w:pPr>
        <w:pStyle w:val="BodyText"/>
        <w:keepLines/>
        <w:widowControl/>
        <w:spacing w:after="240"/>
        <w:ind w:left="0"/>
        <w:rPr>
          <w:rFonts w:asciiTheme="majorHAnsi" w:hAnsiTheme="majorHAnsi"/>
          <w:sz w:val="22"/>
          <w:szCs w:val="22"/>
        </w:rPr>
      </w:pPr>
      <w:r w:rsidRPr="00827F98">
        <w:rPr>
          <w:rFonts w:asciiTheme="majorHAnsi" w:hAnsiTheme="majorHAnsi"/>
          <w:sz w:val="22"/>
          <w:szCs w:val="22"/>
        </w:rPr>
        <w:t>T</w:t>
      </w:r>
      <w:r w:rsidR="00334E61" w:rsidRPr="00827F98">
        <w:rPr>
          <w:rFonts w:asciiTheme="majorHAnsi" w:hAnsiTheme="majorHAnsi"/>
          <w:sz w:val="22"/>
          <w:szCs w:val="22"/>
        </w:rPr>
        <w:t>hird party evaluation of a forensic science service</w:t>
      </w:r>
      <w:r w:rsidR="00FC14FA" w:rsidRPr="00827F98">
        <w:rPr>
          <w:rFonts w:asciiTheme="majorHAnsi" w:hAnsiTheme="majorHAnsi"/>
          <w:sz w:val="22"/>
          <w:szCs w:val="22"/>
        </w:rPr>
        <w:t xml:space="preserve"> </w:t>
      </w:r>
      <w:r w:rsidR="00334E61" w:rsidRPr="00827F98">
        <w:rPr>
          <w:rFonts w:asciiTheme="majorHAnsi" w:hAnsiTheme="majorHAnsi"/>
          <w:sz w:val="22"/>
          <w:szCs w:val="22"/>
        </w:rPr>
        <w:t>provider</w:t>
      </w:r>
      <w:r w:rsidR="00334E61" w:rsidRPr="00827F98">
        <w:rPr>
          <w:rFonts w:asciiTheme="majorHAnsi" w:hAnsiTheme="majorHAnsi"/>
          <w:w w:val="99"/>
          <w:sz w:val="22"/>
          <w:szCs w:val="22"/>
        </w:rPr>
        <w:t xml:space="preserve"> </w:t>
      </w:r>
      <w:r w:rsidR="00334E61" w:rsidRPr="00827F98">
        <w:rPr>
          <w:rFonts w:asciiTheme="majorHAnsi" w:hAnsiTheme="majorHAnsi"/>
          <w:sz w:val="22"/>
          <w:szCs w:val="22"/>
        </w:rPr>
        <w:t>based on a particular standard(s), other relevant documents and attestation of</w:t>
      </w:r>
      <w:r w:rsidR="00334E61" w:rsidRPr="00827F98">
        <w:rPr>
          <w:rFonts w:asciiTheme="majorHAnsi" w:hAnsiTheme="majorHAnsi"/>
          <w:w w:val="99"/>
          <w:sz w:val="22"/>
          <w:szCs w:val="22"/>
        </w:rPr>
        <w:t xml:space="preserve"> </w:t>
      </w:r>
      <w:r w:rsidR="00334E61" w:rsidRPr="00827F98">
        <w:rPr>
          <w:rFonts w:asciiTheme="majorHAnsi" w:hAnsiTheme="majorHAnsi"/>
          <w:sz w:val="22"/>
          <w:szCs w:val="22"/>
        </w:rPr>
        <w:t>competence to carry out specific tasks.</w:t>
      </w:r>
    </w:p>
    <w:p w14:paraId="06D2C750" w14:textId="77777777" w:rsidR="00E9574B" w:rsidRPr="009457C5" w:rsidRDefault="00B44D53" w:rsidP="009457C5">
      <w:pPr>
        <w:pStyle w:val="BodyText"/>
        <w:keepLines/>
        <w:widowControl/>
        <w:numPr>
          <w:ilvl w:val="2"/>
          <w:numId w:val="7"/>
        </w:numPr>
        <w:tabs>
          <w:tab w:val="left" w:pos="360"/>
        </w:tabs>
        <w:ind w:left="0" w:firstLine="0"/>
        <w:rPr>
          <w:rFonts w:asciiTheme="majorHAnsi" w:hAnsiTheme="majorHAnsi"/>
          <w:sz w:val="22"/>
          <w:szCs w:val="22"/>
        </w:rPr>
      </w:pPr>
      <w:r w:rsidRPr="00827F98">
        <w:rPr>
          <w:rFonts w:asciiTheme="majorHAnsi" w:hAnsiTheme="majorHAnsi"/>
          <w:i/>
          <w:sz w:val="22"/>
          <w:szCs w:val="22"/>
        </w:rPr>
        <w:lastRenderedPageBreak/>
        <w:br/>
      </w:r>
      <w:r w:rsidRPr="00827F98">
        <w:rPr>
          <w:rFonts w:asciiTheme="majorHAnsi" w:hAnsiTheme="majorHAnsi"/>
          <w:b/>
          <w:sz w:val="22"/>
          <w:szCs w:val="22"/>
        </w:rPr>
        <w:t>a</w:t>
      </w:r>
      <w:r w:rsidR="00334E61" w:rsidRPr="00827F98">
        <w:rPr>
          <w:rFonts w:asciiTheme="majorHAnsi" w:hAnsiTheme="majorHAnsi"/>
          <w:b/>
          <w:sz w:val="22"/>
          <w:szCs w:val="22"/>
        </w:rPr>
        <w:t>ccuracy</w:t>
      </w:r>
      <w:r w:rsidR="00E9574B">
        <w:rPr>
          <w:rFonts w:asciiTheme="majorHAnsi" w:hAnsiTheme="majorHAnsi"/>
          <w:b/>
          <w:sz w:val="22"/>
          <w:szCs w:val="22"/>
        </w:rPr>
        <w:t xml:space="preserve"> </w:t>
      </w:r>
      <w:r w:rsidR="00E9574B">
        <w:rPr>
          <w:rStyle w:val="FootnoteReference"/>
          <w:rFonts w:asciiTheme="majorHAnsi" w:hAnsiTheme="majorHAnsi"/>
          <w:b/>
          <w:sz w:val="22"/>
          <w:szCs w:val="22"/>
        </w:rPr>
        <w:footnoteReference w:id="6"/>
      </w:r>
    </w:p>
    <w:p w14:paraId="173E35BE" w14:textId="16514C75" w:rsidR="00E9574B" w:rsidRPr="00827F98" w:rsidRDefault="00B44D53" w:rsidP="00B6539B">
      <w:pPr>
        <w:pStyle w:val="BodyText"/>
        <w:keepLines/>
        <w:widowControl/>
        <w:tabs>
          <w:tab w:val="left" w:pos="360"/>
        </w:tabs>
        <w:spacing w:after="240"/>
        <w:ind w:left="0"/>
        <w:jc w:val="both"/>
        <w:rPr>
          <w:rFonts w:asciiTheme="majorHAnsi" w:hAnsiTheme="majorHAnsi"/>
          <w:sz w:val="22"/>
          <w:szCs w:val="22"/>
        </w:rPr>
      </w:pPr>
      <w:r w:rsidRPr="00827F98">
        <w:rPr>
          <w:rFonts w:asciiTheme="majorHAnsi" w:hAnsiTheme="majorHAnsi"/>
          <w:sz w:val="22"/>
          <w:szCs w:val="22"/>
        </w:rPr>
        <w:t>C</w:t>
      </w:r>
      <w:r w:rsidR="00334E61" w:rsidRPr="00827F98">
        <w:rPr>
          <w:rFonts w:asciiTheme="majorHAnsi" w:hAnsiTheme="majorHAnsi"/>
          <w:sz w:val="22"/>
          <w:szCs w:val="22"/>
        </w:rPr>
        <w:t>loseness of agreement between a measured quantity value and a true quantity value of a measurement.</w:t>
      </w:r>
    </w:p>
    <w:p w14:paraId="4058EAB6" w14:textId="67D8088E" w:rsidR="00537F01" w:rsidRPr="00827F98" w:rsidRDefault="00B44D53" w:rsidP="009457C5">
      <w:pPr>
        <w:pStyle w:val="BodyText"/>
        <w:widowControl/>
        <w:numPr>
          <w:ilvl w:val="2"/>
          <w:numId w:val="7"/>
        </w:numPr>
        <w:tabs>
          <w:tab w:val="left" w:pos="360"/>
          <w:tab w:val="left" w:pos="801"/>
        </w:tabs>
        <w:spacing w:after="240"/>
        <w:ind w:left="0" w:firstLine="0"/>
        <w:rPr>
          <w:rFonts w:asciiTheme="majorHAnsi" w:hAnsiTheme="majorHAnsi"/>
          <w:sz w:val="22"/>
          <w:szCs w:val="22"/>
        </w:rPr>
      </w:pPr>
      <w:r w:rsidRPr="00827F98">
        <w:rPr>
          <w:rFonts w:asciiTheme="majorHAnsi" w:hAnsiTheme="majorHAnsi" w:cs="Cambria"/>
          <w:i/>
          <w:sz w:val="22"/>
          <w:szCs w:val="22"/>
        </w:rPr>
        <w:br/>
      </w:r>
      <w:r w:rsidRPr="00827F98">
        <w:rPr>
          <w:rFonts w:asciiTheme="majorHAnsi" w:hAnsiTheme="majorHAnsi" w:cs="Cambria"/>
          <w:b/>
          <w:sz w:val="22"/>
          <w:szCs w:val="22"/>
        </w:rPr>
        <w:t>c</w:t>
      </w:r>
      <w:r w:rsidR="00334E61" w:rsidRPr="00827F98">
        <w:rPr>
          <w:rFonts w:asciiTheme="majorHAnsi" w:hAnsiTheme="majorHAnsi" w:cs="Cambria"/>
          <w:b/>
          <w:sz w:val="22"/>
          <w:szCs w:val="22"/>
        </w:rPr>
        <w:t>alibration</w:t>
      </w:r>
      <w:r w:rsidRPr="00827F98">
        <w:rPr>
          <w:rFonts w:asciiTheme="majorHAnsi" w:hAnsiTheme="majorHAnsi" w:cs="Cambria"/>
          <w:b/>
          <w:sz w:val="22"/>
          <w:szCs w:val="22"/>
        </w:rPr>
        <w:br/>
      </w:r>
      <w:r w:rsidRPr="00827F98">
        <w:rPr>
          <w:rFonts w:asciiTheme="majorHAnsi" w:hAnsiTheme="majorHAnsi" w:cs="Cambria"/>
          <w:sz w:val="22"/>
          <w:szCs w:val="22"/>
        </w:rPr>
        <w:t>Op</w:t>
      </w:r>
      <w:r w:rsidR="00334E61" w:rsidRPr="00827F98">
        <w:rPr>
          <w:rFonts w:asciiTheme="majorHAnsi" w:hAnsiTheme="majorHAnsi"/>
          <w:sz w:val="22"/>
          <w:szCs w:val="22"/>
        </w:rPr>
        <w:t>eration that, under specified conditions, establishes a relation</w:t>
      </w:r>
      <w:r w:rsidR="00334E61" w:rsidRPr="00827F98">
        <w:rPr>
          <w:rFonts w:asciiTheme="majorHAnsi" w:hAnsiTheme="majorHAnsi"/>
          <w:w w:val="99"/>
          <w:sz w:val="22"/>
          <w:szCs w:val="22"/>
        </w:rPr>
        <w:t xml:space="preserve"> </w:t>
      </w:r>
      <w:r w:rsidR="00334E61" w:rsidRPr="00827F98">
        <w:rPr>
          <w:rFonts w:asciiTheme="majorHAnsi" w:hAnsiTheme="majorHAnsi"/>
          <w:sz w:val="22"/>
          <w:szCs w:val="22"/>
        </w:rPr>
        <w:t>between the quantity value and corresponding indications.</w:t>
      </w:r>
    </w:p>
    <w:p w14:paraId="2E3127E1" w14:textId="1F310C7C" w:rsidR="00537F01" w:rsidRPr="00827F98" w:rsidRDefault="003F5EAA" w:rsidP="009457C5">
      <w:pPr>
        <w:widowControl/>
        <w:numPr>
          <w:ilvl w:val="2"/>
          <w:numId w:val="7"/>
        </w:numPr>
        <w:tabs>
          <w:tab w:val="left" w:pos="360"/>
          <w:tab w:val="left" w:pos="801"/>
        </w:tabs>
        <w:spacing w:after="240"/>
        <w:ind w:left="0" w:firstLine="0"/>
        <w:rPr>
          <w:rFonts w:asciiTheme="majorHAnsi" w:eastAsia="Cambria" w:hAnsiTheme="majorHAnsi" w:cs="Cambria"/>
        </w:rPr>
      </w:pPr>
      <w:r w:rsidRPr="00827F98">
        <w:rPr>
          <w:rFonts w:asciiTheme="majorHAnsi" w:eastAsia="Cambria" w:hAnsiTheme="majorHAnsi" w:cs="Cambria"/>
        </w:rPr>
        <w:br/>
      </w:r>
      <w:r w:rsidRPr="00827F98">
        <w:rPr>
          <w:rFonts w:asciiTheme="majorHAnsi" w:eastAsia="Cambria" w:hAnsiTheme="majorHAnsi" w:cs="Cambria"/>
          <w:b/>
        </w:rPr>
        <w:t>c</w:t>
      </w:r>
      <w:r w:rsidR="00334E61" w:rsidRPr="00827F98">
        <w:rPr>
          <w:rFonts w:asciiTheme="majorHAnsi" w:eastAsia="Cambria" w:hAnsiTheme="majorHAnsi" w:cs="Cambria"/>
          <w:b/>
        </w:rPr>
        <w:t>alibrator</w:t>
      </w:r>
      <w:r w:rsidR="0005623F">
        <w:rPr>
          <w:rFonts w:asciiTheme="majorHAnsi" w:eastAsia="Cambria" w:hAnsiTheme="majorHAnsi" w:cs="Cambria"/>
          <w:b/>
        </w:rPr>
        <w:t xml:space="preserve"> </w:t>
      </w:r>
      <w:r w:rsidR="00E9574B" w:rsidRPr="009457C5">
        <w:rPr>
          <w:rFonts w:asciiTheme="majorHAnsi" w:eastAsia="Cambria" w:hAnsiTheme="majorHAnsi" w:cs="Cambria"/>
          <w:b/>
          <w:vertAlign w:val="superscript"/>
        </w:rPr>
        <w:t>7</w:t>
      </w:r>
      <w:r w:rsidRPr="00827F98">
        <w:rPr>
          <w:rFonts w:asciiTheme="majorHAnsi" w:eastAsia="Cambria" w:hAnsiTheme="majorHAnsi" w:cs="Cambria"/>
          <w:b/>
        </w:rPr>
        <w:br/>
      </w:r>
      <w:r w:rsidRPr="00827F98">
        <w:rPr>
          <w:rFonts w:asciiTheme="majorHAnsi" w:eastAsia="Cambria" w:hAnsiTheme="majorHAnsi" w:cs="Cambria"/>
        </w:rPr>
        <w:t>M</w:t>
      </w:r>
      <w:r w:rsidR="00334E61" w:rsidRPr="00827F98">
        <w:rPr>
          <w:rFonts w:asciiTheme="majorHAnsi" w:eastAsia="Cambria" w:hAnsiTheme="majorHAnsi" w:cs="Cambria"/>
        </w:rPr>
        <w:t>easurement standard used in calibration.</w:t>
      </w:r>
    </w:p>
    <w:p w14:paraId="2ED39B76" w14:textId="233BCDD4" w:rsidR="003F5EAA" w:rsidRPr="00827F98" w:rsidRDefault="003F5EAA" w:rsidP="009A3B1E">
      <w:pPr>
        <w:pStyle w:val="BodyText"/>
        <w:widowControl/>
        <w:numPr>
          <w:ilvl w:val="2"/>
          <w:numId w:val="7"/>
        </w:numPr>
        <w:tabs>
          <w:tab w:val="left" w:pos="360"/>
          <w:tab w:val="left" w:pos="801"/>
        </w:tabs>
        <w:ind w:left="0" w:firstLine="0"/>
        <w:rPr>
          <w:rFonts w:asciiTheme="majorHAnsi" w:hAnsiTheme="majorHAnsi"/>
          <w:sz w:val="22"/>
          <w:szCs w:val="22"/>
        </w:rPr>
      </w:pPr>
      <w:r w:rsidRPr="00827F98">
        <w:rPr>
          <w:rFonts w:asciiTheme="majorHAnsi" w:hAnsiTheme="majorHAnsi" w:cs="Cambria"/>
          <w:sz w:val="22"/>
          <w:szCs w:val="22"/>
        </w:rPr>
        <w:br/>
      </w:r>
      <w:r w:rsidR="00334E61" w:rsidRPr="00827F98">
        <w:rPr>
          <w:rFonts w:asciiTheme="majorHAnsi" w:hAnsiTheme="majorHAnsi" w:cs="Cambria"/>
          <w:b/>
          <w:sz w:val="22"/>
          <w:szCs w:val="22"/>
        </w:rPr>
        <w:t>Certified</w:t>
      </w:r>
      <w:r w:rsidR="00360356">
        <w:rPr>
          <w:rFonts w:asciiTheme="majorHAnsi" w:hAnsiTheme="majorHAnsi" w:cs="Cambria"/>
          <w:b/>
          <w:sz w:val="22"/>
          <w:szCs w:val="22"/>
        </w:rPr>
        <w:t xml:space="preserve"> </w:t>
      </w:r>
      <w:r w:rsidR="00334E61" w:rsidRPr="00827F98">
        <w:rPr>
          <w:rFonts w:asciiTheme="majorHAnsi" w:hAnsiTheme="majorHAnsi" w:cs="Cambria"/>
          <w:b/>
          <w:sz w:val="22"/>
          <w:szCs w:val="22"/>
        </w:rPr>
        <w:t>Reference Material</w:t>
      </w:r>
      <w:r w:rsidR="00063AA3">
        <w:rPr>
          <w:rFonts w:asciiTheme="majorHAnsi" w:hAnsiTheme="majorHAnsi" w:cs="Cambria"/>
          <w:b/>
          <w:sz w:val="22"/>
          <w:szCs w:val="22"/>
        </w:rPr>
        <w:t xml:space="preserve"> </w:t>
      </w:r>
      <w:r w:rsidR="00063AA3">
        <w:rPr>
          <w:rStyle w:val="FootnoteReference"/>
          <w:rFonts w:asciiTheme="majorHAnsi" w:hAnsiTheme="majorHAnsi" w:cs="Cambria"/>
          <w:b/>
          <w:sz w:val="22"/>
          <w:szCs w:val="22"/>
        </w:rPr>
        <w:footnoteReference w:id="7"/>
      </w:r>
      <w:r w:rsidR="0005623F">
        <w:rPr>
          <w:rFonts w:asciiTheme="majorHAnsi" w:hAnsiTheme="majorHAnsi" w:cs="Cambria"/>
          <w:b/>
          <w:sz w:val="22"/>
          <w:szCs w:val="22"/>
        </w:rPr>
        <w:t xml:space="preserve"> </w:t>
      </w:r>
      <w:r w:rsidRPr="00827F98">
        <w:rPr>
          <w:rFonts w:asciiTheme="majorHAnsi" w:hAnsiTheme="majorHAnsi" w:cs="Cambria"/>
          <w:b/>
          <w:sz w:val="22"/>
          <w:szCs w:val="22"/>
        </w:rPr>
        <w:br/>
      </w:r>
      <w:r w:rsidR="00334E61" w:rsidRPr="00827F98">
        <w:rPr>
          <w:rFonts w:asciiTheme="majorHAnsi" w:hAnsiTheme="majorHAnsi" w:cs="Cambria"/>
          <w:b/>
          <w:sz w:val="22"/>
          <w:szCs w:val="22"/>
        </w:rPr>
        <w:t>CRM</w:t>
      </w:r>
    </w:p>
    <w:p w14:paraId="06FFC49A" w14:textId="77777777" w:rsidR="00537F01" w:rsidRPr="00827F98" w:rsidRDefault="003F5EAA">
      <w:pPr>
        <w:pStyle w:val="BodyText"/>
        <w:widowControl/>
        <w:tabs>
          <w:tab w:val="left" w:pos="360"/>
          <w:tab w:val="left" w:pos="801"/>
        </w:tabs>
        <w:spacing w:after="240"/>
        <w:ind w:left="0"/>
        <w:jc w:val="both"/>
        <w:rPr>
          <w:rFonts w:asciiTheme="majorHAnsi" w:hAnsiTheme="majorHAnsi"/>
          <w:sz w:val="22"/>
          <w:szCs w:val="22"/>
        </w:rPr>
      </w:pPr>
      <w:r w:rsidRPr="00827F98">
        <w:rPr>
          <w:rFonts w:asciiTheme="majorHAnsi" w:hAnsiTheme="majorHAnsi" w:cs="Cambria"/>
          <w:sz w:val="22"/>
          <w:szCs w:val="22"/>
        </w:rPr>
        <w:t>Re</w:t>
      </w:r>
      <w:r w:rsidR="00334E61" w:rsidRPr="00827F98">
        <w:rPr>
          <w:rFonts w:asciiTheme="majorHAnsi" w:hAnsiTheme="majorHAnsi"/>
          <w:sz w:val="22"/>
          <w:szCs w:val="22"/>
        </w:rPr>
        <w:t>ference material characterized by a metrologically valid procedure for one or more specified properties, accompanied by a certificate that provides the value of the specified property, its</w:t>
      </w:r>
      <w:r w:rsidR="00334E61" w:rsidRPr="00827F98">
        <w:rPr>
          <w:rFonts w:asciiTheme="majorHAnsi" w:hAnsiTheme="majorHAnsi"/>
          <w:w w:val="99"/>
          <w:sz w:val="22"/>
          <w:szCs w:val="22"/>
        </w:rPr>
        <w:t xml:space="preserve"> </w:t>
      </w:r>
      <w:r w:rsidR="00334E61" w:rsidRPr="00827F98">
        <w:rPr>
          <w:rFonts w:asciiTheme="majorHAnsi" w:hAnsiTheme="majorHAnsi"/>
          <w:sz w:val="22"/>
          <w:szCs w:val="22"/>
        </w:rPr>
        <w:t>associated uncertainty, and a statement of metrological traceability.</w:t>
      </w:r>
    </w:p>
    <w:p w14:paraId="1D260D68" w14:textId="65CD0E12" w:rsidR="00537F01" w:rsidRPr="00827F98" w:rsidRDefault="003F5EAA" w:rsidP="009A3B1E">
      <w:pPr>
        <w:pStyle w:val="BodyText"/>
        <w:widowControl/>
        <w:numPr>
          <w:ilvl w:val="2"/>
          <w:numId w:val="7"/>
        </w:numPr>
        <w:tabs>
          <w:tab w:val="left" w:pos="360"/>
          <w:tab w:val="left" w:pos="801"/>
        </w:tabs>
        <w:spacing w:after="240"/>
        <w:ind w:left="0" w:firstLine="0"/>
        <w:jc w:val="both"/>
        <w:rPr>
          <w:rFonts w:asciiTheme="majorHAnsi" w:hAnsiTheme="majorHAnsi"/>
          <w:sz w:val="22"/>
          <w:szCs w:val="22"/>
        </w:rPr>
      </w:pPr>
      <w:r w:rsidRPr="00827F98">
        <w:rPr>
          <w:rFonts w:asciiTheme="majorHAnsi" w:hAnsiTheme="majorHAnsi" w:cs="Cambria"/>
          <w:sz w:val="22"/>
          <w:szCs w:val="22"/>
        </w:rPr>
        <w:br/>
      </w:r>
      <w:r w:rsidRPr="00827F98">
        <w:rPr>
          <w:rFonts w:asciiTheme="majorHAnsi" w:hAnsiTheme="majorHAnsi" w:cs="Cambria"/>
          <w:b/>
          <w:sz w:val="22"/>
          <w:szCs w:val="22"/>
        </w:rPr>
        <w:t>c</w:t>
      </w:r>
      <w:r w:rsidR="00334E61" w:rsidRPr="00827F98">
        <w:rPr>
          <w:rFonts w:asciiTheme="majorHAnsi" w:hAnsiTheme="majorHAnsi" w:cs="Cambria"/>
          <w:b/>
          <w:sz w:val="22"/>
          <w:szCs w:val="22"/>
        </w:rPr>
        <w:t>ontrol</w:t>
      </w:r>
      <w:r w:rsidR="0005623F">
        <w:rPr>
          <w:rFonts w:asciiTheme="majorHAnsi" w:hAnsiTheme="majorHAnsi" w:cs="Cambria"/>
          <w:b/>
          <w:sz w:val="22"/>
          <w:szCs w:val="22"/>
        </w:rPr>
        <w:t xml:space="preserve"> </w:t>
      </w:r>
      <w:r w:rsidRPr="00827F98">
        <w:rPr>
          <w:rFonts w:asciiTheme="majorHAnsi" w:hAnsiTheme="majorHAnsi" w:cs="Cambria"/>
          <w:b/>
          <w:sz w:val="22"/>
          <w:szCs w:val="22"/>
        </w:rPr>
        <w:br/>
      </w:r>
      <w:r w:rsidRPr="00827F98">
        <w:rPr>
          <w:rFonts w:asciiTheme="majorHAnsi" w:hAnsiTheme="majorHAnsi" w:cs="Cambria"/>
          <w:sz w:val="22"/>
          <w:szCs w:val="22"/>
        </w:rPr>
        <w:t>Ma</w:t>
      </w:r>
      <w:r w:rsidR="00334E61" w:rsidRPr="00827F98">
        <w:rPr>
          <w:rFonts w:asciiTheme="majorHAnsi" w:hAnsiTheme="majorHAnsi"/>
          <w:sz w:val="22"/>
          <w:szCs w:val="22"/>
        </w:rPr>
        <w:t xml:space="preserve">terial of known composition that is analyzed along with unknown samples(s) </w:t>
      </w:r>
      <w:proofErr w:type="gramStart"/>
      <w:r w:rsidR="00334E61" w:rsidRPr="00827F98">
        <w:rPr>
          <w:rFonts w:asciiTheme="majorHAnsi" w:hAnsiTheme="majorHAnsi"/>
          <w:sz w:val="22"/>
          <w:szCs w:val="22"/>
        </w:rPr>
        <w:t>in order to</w:t>
      </w:r>
      <w:proofErr w:type="gramEnd"/>
      <w:r w:rsidR="00334E61" w:rsidRPr="00827F98">
        <w:rPr>
          <w:rFonts w:asciiTheme="majorHAnsi" w:hAnsiTheme="majorHAnsi"/>
          <w:sz w:val="22"/>
          <w:szCs w:val="22"/>
        </w:rPr>
        <w:t xml:space="preserve"> evaluate the performance of an analytical procedure.</w:t>
      </w:r>
    </w:p>
    <w:p w14:paraId="57DD10DE" w14:textId="72980490" w:rsidR="003F5EAA" w:rsidRPr="00827F98" w:rsidRDefault="003F5EAA" w:rsidP="009A3B1E">
      <w:pPr>
        <w:pStyle w:val="BodyText"/>
        <w:widowControl/>
        <w:numPr>
          <w:ilvl w:val="2"/>
          <w:numId w:val="7"/>
        </w:numPr>
        <w:tabs>
          <w:tab w:val="left" w:pos="360"/>
          <w:tab w:val="left" w:pos="801"/>
        </w:tabs>
        <w:ind w:left="0" w:firstLine="0"/>
        <w:jc w:val="both"/>
        <w:rPr>
          <w:rFonts w:asciiTheme="majorHAnsi" w:hAnsiTheme="majorHAnsi"/>
          <w:sz w:val="22"/>
          <w:szCs w:val="22"/>
        </w:rPr>
      </w:pPr>
      <w:r w:rsidRPr="00827F98">
        <w:rPr>
          <w:rFonts w:asciiTheme="majorHAnsi" w:hAnsiTheme="majorHAnsi" w:cs="Cambria"/>
          <w:sz w:val="22"/>
          <w:szCs w:val="22"/>
        </w:rPr>
        <w:br/>
      </w:r>
      <w:r w:rsidRPr="00827F98">
        <w:rPr>
          <w:rFonts w:asciiTheme="majorHAnsi" w:hAnsiTheme="majorHAnsi" w:cs="Cambria"/>
          <w:b/>
          <w:sz w:val="22"/>
          <w:szCs w:val="22"/>
        </w:rPr>
        <w:t>d</w:t>
      </w:r>
      <w:r w:rsidR="00334E61" w:rsidRPr="00827F98">
        <w:rPr>
          <w:rFonts w:asciiTheme="majorHAnsi" w:hAnsiTheme="majorHAnsi" w:cs="Cambria"/>
          <w:b/>
          <w:sz w:val="22"/>
          <w:szCs w:val="22"/>
        </w:rPr>
        <w:t xml:space="preserve">ecision </w:t>
      </w:r>
      <w:r w:rsidRPr="00827F98">
        <w:rPr>
          <w:rFonts w:asciiTheme="majorHAnsi" w:hAnsiTheme="majorHAnsi" w:cs="Cambria"/>
          <w:b/>
          <w:sz w:val="22"/>
          <w:szCs w:val="22"/>
        </w:rPr>
        <w:t>p</w:t>
      </w:r>
      <w:r w:rsidR="00334E61" w:rsidRPr="00827F98">
        <w:rPr>
          <w:rFonts w:asciiTheme="majorHAnsi" w:hAnsiTheme="majorHAnsi" w:cs="Cambria"/>
          <w:b/>
          <w:sz w:val="22"/>
          <w:szCs w:val="22"/>
        </w:rPr>
        <w:t>oint</w:t>
      </w:r>
    </w:p>
    <w:p w14:paraId="56DCF66E" w14:textId="4CF2654F" w:rsidR="00537F01" w:rsidRPr="00827F98" w:rsidRDefault="003F5EAA">
      <w:pPr>
        <w:pStyle w:val="BodyText"/>
        <w:widowControl/>
        <w:tabs>
          <w:tab w:val="left" w:pos="360"/>
          <w:tab w:val="left" w:pos="801"/>
        </w:tabs>
        <w:spacing w:after="240"/>
        <w:ind w:left="0"/>
        <w:jc w:val="both"/>
        <w:rPr>
          <w:rFonts w:asciiTheme="majorHAnsi" w:hAnsiTheme="majorHAnsi"/>
          <w:sz w:val="22"/>
          <w:szCs w:val="22"/>
        </w:rPr>
      </w:pPr>
      <w:r w:rsidRPr="00827F98">
        <w:rPr>
          <w:rFonts w:asciiTheme="majorHAnsi" w:hAnsiTheme="majorHAnsi" w:cs="Cambria"/>
          <w:sz w:val="22"/>
          <w:szCs w:val="22"/>
        </w:rPr>
        <w:t>A</w:t>
      </w:r>
      <w:r w:rsidR="00334E61" w:rsidRPr="00827F98">
        <w:rPr>
          <w:rFonts w:asciiTheme="majorHAnsi" w:hAnsiTheme="majorHAnsi"/>
          <w:sz w:val="22"/>
          <w:szCs w:val="22"/>
        </w:rPr>
        <w:t>dministratively defined cutoff or concentration that is at or</w:t>
      </w:r>
      <w:r w:rsidR="00334E61" w:rsidRPr="00827F98">
        <w:rPr>
          <w:rFonts w:asciiTheme="majorHAnsi" w:hAnsiTheme="majorHAnsi"/>
          <w:w w:val="99"/>
          <w:sz w:val="22"/>
          <w:szCs w:val="22"/>
        </w:rPr>
        <w:t xml:space="preserve"> </w:t>
      </w:r>
      <w:r w:rsidR="00334E61" w:rsidRPr="00827F98">
        <w:rPr>
          <w:rFonts w:asciiTheme="majorHAnsi" w:hAnsiTheme="majorHAnsi" w:cs="Cambria"/>
          <w:sz w:val="22"/>
          <w:szCs w:val="22"/>
        </w:rPr>
        <w:t>above the method’s limit of de</w:t>
      </w:r>
      <w:r w:rsidR="00334E61" w:rsidRPr="00827F98">
        <w:rPr>
          <w:rFonts w:asciiTheme="majorHAnsi" w:hAnsiTheme="majorHAnsi"/>
          <w:sz w:val="22"/>
          <w:szCs w:val="22"/>
        </w:rPr>
        <w:t xml:space="preserve">tection or </w:t>
      </w:r>
      <w:r w:rsidR="00520B31">
        <w:rPr>
          <w:rFonts w:asciiTheme="majorHAnsi" w:hAnsiTheme="majorHAnsi"/>
          <w:sz w:val="22"/>
          <w:szCs w:val="22"/>
        </w:rPr>
        <w:t xml:space="preserve">lower </w:t>
      </w:r>
      <w:r w:rsidR="00334E61" w:rsidRPr="00827F98">
        <w:rPr>
          <w:rFonts w:asciiTheme="majorHAnsi" w:hAnsiTheme="majorHAnsi"/>
          <w:sz w:val="22"/>
          <w:szCs w:val="22"/>
        </w:rPr>
        <w:t>limit of quantitation and is used to discriminate between a negative and positive test result.</w:t>
      </w:r>
    </w:p>
    <w:p w14:paraId="75E6B55F" w14:textId="2D7340B3" w:rsidR="00360356" w:rsidRPr="009A3B1E" w:rsidRDefault="003F5EAA" w:rsidP="009457C5">
      <w:pPr>
        <w:pStyle w:val="BodyText"/>
        <w:keepNext/>
        <w:keepLines/>
        <w:widowControl/>
        <w:numPr>
          <w:ilvl w:val="2"/>
          <w:numId w:val="7"/>
        </w:numPr>
        <w:tabs>
          <w:tab w:val="left" w:pos="360"/>
          <w:tab w:val="left" w:pos="801"/>
        </w:tabs>
        <w:ind w:left="0" w:firstLine="0"/>
        <w:rPr>
          <w:rFonts w:asciiTheme="majorHAnsi" w:hAnsiTheme="majorHAnsi"/>
          <w:b/>
          <w:sz w:val="22"/>
          <w:szCs w:val="22"/>
        </w:rPr>
      </w:pPr>
      <w:r w:rsidRPr="00827F98">
        <w:rPr>
          <w:rFonts w:asciiTheme="majorHAnsi" w:hAnsiTheme="majorHAnsi" w:cs="Cambria"/>
          <w:sz w:val="22"/>
          <w:szCs w:val="22"/>
        </w:rPr>
        <w:br/>
      </w:r>
      <w:r w:rsidR="00334E61" w:rsidRPr="00827F98">
        <w:rPr>
          <w:rFonts w:asciiTheme="majorHAnsi" w:hAnsiTheme="majorHAnsi" w:cs="Cambria"/>
          <w:b/>
          <w:sz w:val="22"/>
          <w:szCs w:val="22"/>
        </w:rPr>
        <w:t>Limit of Detection</w:t>
      </w:r>
      <w:r w:rsidR="0005623F">
        <w:rPr>
          <w:rFonts w:asciiTheme="majorHAnsi" w:hAnsiTheme="majorHAnsi" w:cs="Cambria"/>
          <w:b/>
          <w:sz w:val="22"/>
          <w:szCs w:val="22"/>
        </w:rPr>
        <w:t xml:space="preserve"> </w:t>
      </w:r>
    </w:p>
    <w:p w14:paraId="2EC8EE6E" w14:textId="77777777" w:rsidR="003F5EAA" w:rsidRPr="00827F98" w:rsidRDefault="003F5EAA" w:rsidP="009457C5">
      <w:pPr>
        <w:pStyle w:val="BodyText"/>
        <w:keepNext/>
        <w:keepLines/>
        <w:widowControl/>
        <w:tabs>
          <w:tab w:val="left" w:pos="360"/>
          <w:tab w:val="left" w:pos="801"/>
        </w:tabs>
        <w:ind w:left="0"/>
        <w:rPr>
          <w:rFonts w:asciiTheme="majorHAnsi" w:hAnsiTheme="majorHAnsi"/>
          <w:b/>
          <w:sz w:val="22"/>
          <w:szCs w:val="22"/>
        </w:rPr>
      </w:pPr>
      <w:r w:rsidRPr="00827F98">
        <w:rPr>
          <w:rFonts w:asciiTheme="majorHAnsi" w:hAnsiTheme="majorHAnsi" w:cs="Cambria"/>
          <w:b/>
          <w:sz w:val="22"/>
          <w:szCs w:val="22"/>
        </w:rPr>
        <w:t>LOD</w:t>
      </w:r>
    </w:p>
    <w:p w14:paraId="6D6FC19B" w14:textId="77777777" w:rsidR="00537F01" w:rsidRPr="00827F98" w:rsidRDefault="003F5EAA" w:rsidP="009457C5">
      <w:pPr>
        <w:pStyle w:val="BodyText"/>
        <w:keepNext/>
        <w:keepLines/>
        <w:widowControl/>
        <w:tabs>
          <w:tab w:val="left" w:pos="360"/>
          <w:tab w:val="left" w:pos="801"/>
        </w:tabs>
        <w:spacing w:after="240"/>
        <w:ind w:left="0"/>
        <w:jc w:val="both"/>
        <w:rPr>
          <w:rFonts w:asciiTheme="majorHAnsi" w:hAnsiTheme="majorHAnsi"/>
          <w:sz w:val="22"/>
          <w:szCs w:val="22"/>
        </w:rPr>
      </w:pPr>
      <w:r w:rsidRPr="00827F98">
        <w:rPr>
          <w:rFonts w:asciiTheme="majorHAnsi" w:hAnsiTheme="majorHAnsi" w:cs="Cambria"/>
          <w:sz w:val="22"/>
          <w:szCs w:val="22"/>
        </w:rPr>
        <w:t>A</w:t>
      </w:r>
      <w:r w:rsidR="00334E61" w:rsidRPr="00827F98">
        <w:rPr>
          <w:rFonts w:asciiTheme="majorHAnsi" w:hAnsiTheme="majorHAnsi"/>
          <w:sz w:val="22"/>
          <w:szCs w:val="22"/>
        </w:rPr>
        <w:t>n estimate of the lowest concentration of an analyte</w:t>
      </w:r>
      <w:r w:rsidR="00334E61" w:rsidRPr="00827F98">
        <w:rPr>
          <w:rFonts w:asciiTheme="majorHAnsi" w:hAnsiTheme="majorHAnsi"/>
          <w:w w:val="99"/>
          <w:sz w:val="22"/>
          <w:szCs w:val="22"/>
        </w:rPr>
        <w:t xml:space="preserve"> </w:t>
      </w:r>
      <w:r w:rsidR="00334E61" w:rsidRPr="00827F98">
        <w:rPr>
          <w:rFonts w:asciiTheme="majorHAnsi" w:hAnsiTheme="majorHAnsi"/>
          <w:sz w:val="22"/>
          <w:szCs w:val="22"/>
        </w:rPr>
        <w:t>in a sample that can be reliably differentiated from blank matrix and meets</w:t>
      </w:r>
      <w:r w:rsidR="00334E61" w:rsidRPr="00827F98">
        <w:rPr>
          <w:rFonts w:asciiTheme="majorHAnsi" w:hAnsiTheme="majorHAnsi"/>
          <w:w w:val="99"/>
          <w:sz w:val="22"/>
          <w:szCs w:val="22"/>
        </w:rPr>
        <w:t xml:space="preserve"> </w:t>
      </w:r>
      <w:r w:rsidR="00334E61" w:rsidRPr="00827F98">
        <w:rPr>
          <w:rFonts w:asciiTheme="majorHAnsi" w:hAnsiTheme="majorHAnsi"/>
          <w:sz w:val="22"/>
          <w:szCs w:val="22"/>
        </w:rPr>
        <w:t>identification criteria for the analytical method.</w:t>
      </w:r>
    </w:p>
    <w:p w14:paraId="255EDB56" w14:textId="6EBDABAC" w:rsidR="00506EBA" w:rsidRDefault="009457C5" w:rsidP="004131FB">
      <w:pPr>
        <w:pStyle w:val="BodyText"/>
        <w:keepNext/>
        <w:keepLines/>
        <w:widowControl/>
        <w:numPr>
          <w:ilvl w:val="2"/>
          <w:numId w:val="7"/>
        </w:numPr>
        <w:tabs>
          <w:tab w:val="left" w:pos="360"/>
        </w:tabs>
        <w:ind w:left="0" w:firstLine="0"/>
        <w:rPr>
          <w:rFonts w:asciiTheme="majorHAnsi" w:hAnsiTheme="majorHAnsi"/>
          <w:b/>
          <w:sz w:val="22"/>
          <w:szCs w:val="22"/>
        </w:rPr>
      </w:pPr>
      <w:r>
        <w:rPr>
          <w:rFonts w:asciiTheme="majorHAnsi" w:hAnsiTheme="majorHAnsi"/>
          <w:b/>
          <w:sz w:val="22"/>
          <w:szCs w:val="22"/>
        </w:rPr>
        <w:br/>
      </w:r>
      <w:r w:rsidR="00506EBA">
        <w:rPr>
          <w:rFonts w:asciiTheme="majorHAnsi" w:hAnsiTheme="majorHAnsi"/>
          <w:b/>
          <w:sz w:val="22"/>
          <w:szCs w:val="22"/>
        </w:rPr>
        <w:t xml:space="preserve">Lower Limit of </w:t>
      </w:r>
      <w:r w:rsidR="004131FB">
        <w:rPr>
          <w:rFonts w:asciiTheme="majorHAnsi" w:hAnsiTheme="majorHAnsi"/>
          <w:b/>
          <w:sz w:val="22"/>
          <w:szCs w:val="22"/>
        </w:rPr>
        <w:t>Q</w:t>
      </w:r>
      <w:r w:rsidR="004131FB" w:rsidRPr="004131FB">
        <w:rPr>
          <w:rFonts w:asciiTheme="majorHAnsi" w:hAnsiTheme="majorHAnsi"/>
          <w:b/>
          <w:sz w:val="22"/>
          <w:szCs w:val="22"/>
        </w:rPr>
        <w:t>uantitation</w:t>
      </w:r>
    </w:p>
    <w:p w14:paraId="5B53FDA8" w14:textId="5CCA20BD" w:rsidR="00506EBA" w:rsidRDefault="00506EBA" w:rsidP="009457C5">
      <w:pPr>
        <w:pStyle w:val="BodyText"/>
        <w:keepNext/>
        <w:keepLines/>
        <w:widowControl/>
        <w:tabs>
          <w:tab w:val="left" w:pos="360"/>
          <w:tab w:val="left" w:pos="801"/>
        </w:tabs>
        <w:ind w:left="0"/>
        <w:rPr>
          <w:rFonts w:asciiTheme="majorHAnsi" w:hAnsiTheme="majorHAnsi"/>
          <w:b/>
          <w:sz w:val="22"/>
          <w:szCs w:val="22"/>
        </w:rPr>
      </w:pPr>
      <w:r>
        <w:rPr>
          <w:rFonts w:asciiTheme="majorHAnsi" w:hAnsiTheme="majorHAnsi"/>
          <w:b/>
          <w:sz w:val="22"/>
          <w:szCs w:val="22"/>
        </w:rPr>
        <w:t>LLOQ</w:t>
      </w:r>
    </w:p>
    <w:p w14:paraId="644DB688" w14:textId="77777777" w:rsidR="00506EBA" w:rsidRDefault="00506EBA" w:rsidP="00506EBA">
      <w:pPr>
        <w:pStyle w:val="BodyText"/>
        <w:widowControl/>
        <w:tabs>
          <w:tab w:val="left" w:pos="360"/>
          <w:tab w:val="left" w:pos="801"/>
        </w:tabs>
        <w:spacing w:after="240"/>
        <w:ind w:left="0"/>
        <w:jc w:val="both"/>
        <w:rPr>
          <w:rFonts w:asciiTheme="majorHAnsi" w:hAnsiTheme="majorHAnsi"/>
          <w:sz w:val="22"/>
          <w:szCs w:val="22"/>
        </w:rPr>
      </w:pPr>
      <w:r w:rsidRPr="00827F98">
        <w:rPr>
          <w:rFonts w:asciiTheme="majorHAnsi" w:hAnsiTheme="majorHAnsi" w:cs="Cambria"/>
          <w:sz w:val="22"/>
          <w:szCs w:val="22"/>
        </w:rPr>
        <w:t>A</w:t>
      </w:r>
      <w:r w:rsidRPr="00827F98">
        <w:rPr>
          <w:rFonts w:asciiTheme="majorHAnsi" w:hAnsiTheme="majorHAnsi"/>
          <w:sz w:val="22"/>
          <w:szCs w:val="22"/>
        </w:rPr>
        <w:t>n estimate of the lowest concentration of an analyte in a sample that can be reliably measured with acceptable bias and</w:t>
      </w:r>
      <w:r w:rsidRPr="00827F98">
        <w:rPr>
          <w:rFonts w:asciiTheme="majorHAnsi" w:hAnsiTheme="majorHAnsi"/>
          <w:w w:val="99"/>
          <w:sz w:val="22"/>
          <w:szCs w:val="22"/>
        </w:rPr>
        <w:t xml:space="preserve"> </w:t>
      </w:r>
      <w:r w:rsidRPr="00827F98">
        <w:rPr>
          <w:rFonts w:asciiTheme="majorHAnsi" w:hAnsiTheme="majorHAnsi"/>
          <w:sz w:val="22"/>
          <w:szCs w:val="22"/>
        </w:rPr>
        <w:t>precision.</w:t>
      </w:r>
    </w:p>
    <w:p w14:paraId="1460684F" w14:textId="77777777" w:rsidR="00506EBA" w:rsidRPr="0055218F" w:rsidRDefault="003F5EAA" w:rsidP="00CE1A53">
      <w:pPr>
        <w:pStyle w:val="BodyText"/>
        <w:keepNext/>
        <w:keepLines/>
        <w:widowControl/>
        <w:numPr>
          <w:ilvl w:val="2"/>
          <w:numId w:val="7"/>
        </w:numPr>
        <w:tabs>
          <w:tab w:val="left" w:pos="360"/>
          <w:tab w:val="left" w:pos="801"/>
        </w:tabs>
        <w:ind w:left="0" w:firstLine="0"/>
        <w:rPr>
          <w:rFonts w:asciiTheme="majorHAnsi" w:hAnsiTheme="majorHAnsi"/>
          <w:b/>
          <w:sz w:val="22"/>
          <w:szCs w:val="22"/>
        </w:rPr>
      </w:pPr>
      <w:r w:rsidRPr="00827F98">
        <w:rPr>
          <w:rFonts w:asciiTheme="majorHAnsi" w:hAnsiTheme="majorHAnsi" w:cs="Cambria"/>
          <w:sz w:val="22"/>
          <w:szCs w:val="22"/>
        </w:rPr>
        <w:lastRenderedPageBreak/>
        <w:br/>
      </w:r>
      <w:r w:rsidR="00506EBA">
        <w:rPr>
          <w:rFonts w:asciiTheme="majorHAnsi" w:hAnsiTheme="majorHAnsi" w:cs="Cambria"/>
          <w:b/>
          <w:sz w:val="22"/>
          <w:szCs w:val="22"/>
        </w:rPr>
        <w:t>forensic science service provider</w:t>
      </w:r>
    </w:p>
    <w:p w14:paraId="6ED34656" w14:textId="34D4881F" w:rsidR="00506EBA" w:rsidRPr="009457C5" w:rsidRDefault="00506EBA" w:rsidP="0055218F">
      <w:pPr>
        <w:pStyle w:val="BodyText"/>
        <w:widowControl/>
        <w:tabs>
          <w:tab w:val="left" w:pos="360"/>
          <w:tab w:val="left" w:pos="801"/>
        </w:tabs>
        <w:spacing w:after="240"/>
        <w:ind w:left="0"/>
        <w:jc w:val="both"/>
        <w:rPr>
          <w:rFonts w:asciiTheme="majorHAnsi" w:hAnsiTheme="majorHAnsi"/>
          <w:color w:val="000000"/>
          <w:sz w:val="22"/>
          <w:szCs w:val="22"/>
        </w:rPr>
      </w:pPr>
      <w:r w:rsidRPr="009457C5">
        <w:rPr>
          <w:rFonts w:asciiTheme="majorHAnsi" w:hAnsiTheme="majorHAnsi"/>
          <w:color w:val="000000"/>
          <w:sz w:val="22"/>
          <w:szCs w:val="22"/>
        </w:rPr>
        <w:t>A forensic science agency or forensic science practitioner providing forensic science services.</w:t>
      </w:r>
    </w:p>
    <w:p w14:paraId="62D67587" w14:textId="40A7CCC1" w:rsidR="008D5C7B" w:rsidRPr="0055218F" w:rsidRDefault="009457C5" w:rsidP="009457C5">
      <w:pPr>
        <w:pStyle w:val="BodyText"/>
        <w:widowControl/>
        <w:numPr>
          <w:ilvl w:val="2"/>
          <w:numId w:val="7"/>
        </w:numPr>
        <w:tabs>
          <w:tab w:val="left" w:pos="360"/>
          <w:tab w:val="left" w:pos="801"/>
        </w:tabs>
        <w:ind w:left="0" w:firstLine="0"/>
        <w:rPr>
          <w:rFonts w:asciiTheme="majorHAnsi" w:hAnsiTheme="majorHAnsi"/>
          <w:b/>
          <w:sz w:val="22"/>
          <w:szCs w:val="22"/>
        </w:rPr>
      </w:pPr>
      <w:r>
        <w:rPr>
          <w:rFonts w:asciiTheme="majorHAnsi" w:hAnsiTheme="majorHAnsi"/>
          <w:b/>
          <w:sz w:val="22"/>
          <w:szCs w:val="22"/>
        </w:rPr>
        <w:br/>
      </w:r>
      <w:r w:rsidR="0005623F" w:rsidRPr="0055218F">
        <w:rPr>
          <w:rFonts w:asciiTheme="majorHAnsi" w:hAnsiTheme="majorHAnsi"/>
          <w:b/>
          <w:sz w:val="22"/>
          <w:szCs w:val="22"/>
        </w:rPr>
        <w:t>m</w:t>
      </w:r>
      <w:r w:rsidR="008D5C7B" w:rsidRPr="0055218F">
        <w:rPr>
          <w:rFonts w:asciiTheme="majorHAnsi" w:hAnsiTheme="majorHAnsi"/>
          <w:b/>
          <w:sz w:val="22"/>
          <w:szCs w:val="22"/>
        </w:rPr>
        <w:t>ass reference standard</w:t>
      </w:r>
    </w:p>
    <w:p w14:paraId="2864D551" w14:textId="2B255BE0" w:rsidR="00E54C33" w:rsidRPr="009457C5" w:rsidRDefault="00CF12A8" w:rsidP="00B6539B">
      <w:pPr>
        <w:pStyle w:val="BodyText"/>
        <w:widowControl/>
        <w:tabs>
          <w:tab w:val="left" w:pos="360"/>
          <w:tab w:val="left" w:pos="801"/>
        </w:tabs>
        <w:spacing w:after="240"/>
        <w:ind w:left="0"/>
        <w:rPr>
          <w:rFonts w:asciiTheme="majorHAnsi" w:hAnsiTheme="majorHAnsi"/>
          <w:sz w:val="22"/>
          <w:szCs w:val="22"/>
        </w:rPr>
      </w:pPr>
      <w:r>
        <w:rPr>
          <w:rFonts w:asciiTheme="majorHAnsi" w:hAnsiTheme="majorHAnsi"/>
          <w:sz w:val="22"/>
          <w:szCs w:val="22"/>
        </w:rPr>
        <w:t>A standard having the highest metrological quality available at a given mass, from which the measurements made at that mass are derived.</w:t>
      </w:r>
    </w:p>
    <w:p w14:paraId="0FC99710" w14:textId="77777777" w:rsidR="008D5C7B" w:rsidRDefault="008D5C7B" w:rsidP="009457C5">
      <w:pPr>
        <w:pStyle w:val="BodyText"/>
        <w:widowControl/>
        <w:numPr>
          <w:ilvl w:val="2"/>
          <w:numId w:val="7"/>
        </w:numPr>
        <w:tabs>
          <w:tab w:val="left" w:pos="360"/>
          <w:tab w:val="left" w:pos="801"/>
        </w:tabs>
        <w:ind w:left="0" w:firstLine="0"/>
        <w:rPr>
          <w:rFonts w:asciiTheme="majorHAnsi" w:hAnsiTheme="majorHAnsi"/>
          <w:b/>
          <w:sz w:val="22"/>
          <w:szCs w:val="22"/>
        </w:rPr>
      </w:pPr>
    </w:p>
    <w:p w14:paraId="1E224676" w14:textId="77777777" w:rsidR="00506EBA" w:rsidRDefault="0005623F" w:rsidP="009457C5">
      <w:pPr>
        <w:pStyle w:val="BodyText"/>
        <w:widowControl/>
        <w:tabs>
          <w:tab w:val="left" w:pos="360"/>
          <w:tab w:val="left" w:pos="801"/>
        </w:tabs>
        <w:ind w:left="0"/>
        <w:jc w:val="both"/>
        <w:rPr>
          <w:rFonts w:asciiTheme="majorHAnsi" w:hAnsiTheme="majorHAnsi" w:cs="Cambria"/>
          <w:sz w:val="22"/>
          <w:vertAlign w:val="superscript"/>
        </w:rPr>
      </w:pPr>
      <w:r>
        <w:rPr>
          <w:rFonts w:asciiTheme="majorHAnsi" w:hAnsiTheme="majorHAnsi"/>
          <w:b/>
          <w:sz w:val="22"/>
          <w:szCs w:val="22"/>
        </w:rPr>
        <w:t>m</w:t>
      </w:r>
      <w:r w:rsidR="006F370A">
        <w:rPr>
          <w:rFonts w:asciiTheme="majorHAnsi" w:hAnsiTheme="majorHAnsi"/>
          <w:b/>
          <w:sz w:val="22"/>
          <w:szCs w:val="22"/>
        </w:rPr>
        <w:t>easurement traceability</w:t>
      </w:r>
      <w:r>
        <w:rPr>
          <w:rFonts w:asciiTheme="majorHAnsi" w:hAnsiTheme="majorHAnsi"/>
          <w:b/>
          <w:sz w:val="22"/>
          <w:szCs w:val="22"/>
        </w:rPr>
        <w:t xml:space="preserve"> </w:t>
      </w:r>
      <w:r w:rsidR="00506EBA" w:rsidRPr="009457C5">
        <w:rPr>
          <w:rFonts w:asciiTheme="majorHAnsi" w:hAnsiTheme="majorHAnsi" w:cs="Cambria"/>
          <w:sz w:val="22"/>
          <w:vertAlign w:val="superscript"/>
        </w:rPr>
        <w:t>7</w:t>
      </w:r>
    </w:p>
    <w:p w14:paraId="0D1CE9AD" w14:textId="0C4BB24C" w:rsidR="00506EBA" w:rsidRDefault="008D5C7B" w:rsidP="00B6539B">
      <w:pPr>
        <w:pStyle w:val="BodyText"/>
        <w:widowControl/>
        <w:tabs>
          <w:tab w:val="left" w:pos="360"/>
          <w:tab w:val="left" w:pos="801"/>
        </w:tabs>
        <w:spacing w:after="240"/>
        <w:ind w:left="0"/>
        <w:jc w:val="both"/>
        <w:rPr>
          <w:rFonts w:asciiTheme="majorHAnsi" w:hAnsiTheme="majorHAnsi"/>
          <w:sz w:val="22"/>
          <w:szCs w:val="22"/>
        </w:rPr>
      </w:pPr>
      <w:r>
        <w:rPr>
          <w:rFonts w:asciiTheme="majorHAnsi" w:hAnsiTheme="majorHAnsi"/>
          <w:sz w:val="22"/>
          <w:szCs w:val="22"/>
        </w:rPr>
        <w:t>P</w:t>
      </w:r>
      <w:r w:rsidR="00897B89" w:rsidRPr="00827F98">
        <w:rPr>
          <w:rFonts w:asciiTheme="majorHAnsi" w:hAnsiTheme="majorHAnsi"/>
          <w:sz w:val="22"/>
          <w:szCs w:val="22"/>
        </w:rPr>
        <w:t>roperty of a measurement result whereby the result can be related to a reference through a documented</w:t>
      </w:r>
      <w:r w:rsidR="00897B89" w:rsidRPr="00827F98">
        <w:rPr>
          <w:rFonts w:asciiTheme="majorHAnsi" w:hAnsiTheme="majorHAnsi"/>
          <w:w w:val="99"/>
          <w:sz w:val="22"/>
          <w:szCs w:val="22"/>
        </w:rPr>
        <w:t xml:space="preserve"> </w:t>
      </w:r>
      <w:r w:rsidR="00897B89" w:rsidRPr="00827F98">
        <w:rPr>
          <w:rFonts w:asciiTheme="majorHAnsi" w:hAnsiTheme="majorHAnsi"/>
          <w:sz w:val="22"/>
          <w:szCs w:val="22"/>
        </w:rPr>
        <w:t>unbroken chain of calibrations, each contributing to the measurement uncertainty.</w:t>
      </w:r>
      <w:r w:rsidR="006F370A">
        <w:rPr>
          <w:rFonts w:asciiTheme="majorHAnsi" w:hAnsiTheme="majorHAnsi"/>
          <w:sz w:val="22"/>
          <w:szCs w:val="22"/>
        </w:rPr>
        <w:t xml:space="preserve"> </w:t>
      </w:r>
    </w:p>
    <w:p w14:paraId="132BA89B" w14:textId="68630329" w:rsidR="00897B89" w:rsidRPr="00B6539B" w:rsidRDefault="00D41BF2" w:rsidP="00B6539B">
      <w:pPr>
        <w:pStyle w:val="BodyText"/>
        <w:widowControl/>
        <w:tabs>
          <w:tab w:val="left" w:pos="360"/>
          <w:tab w:val="left" w:pos="801"/>
        </w:tabs>
        <w:spacing w:after="240"/>
        <w:ind w:left="0"/>
        <w:jc w:val="both"/>
        <w:rPr>
          <w:rFonts w:asciiTheme="majorHAnsi" w:hAnsiTheme="majorHAnsi"/>
          <w:sz w:val="22"/>
          <w:szCs w:val="22"/>
        </w:rPr>
      </w:pPr>
      <w:proofErr w:type="gramStart"/>
      <w:r>
        <w:rPr>
          <w:rFonts w:asciiTheme="majorHAnsi" w:hAnsiTheme="majorHAnsi"/>
          <w:sz w:val="20"/>
          <w:szCs w:val="22"/>
        </w:rPr>
        <w:t>NOTE</w:t>
      </w:r>
      <w:r w:rsidR="006F370A" w:rsidRPr="009457C5">
        <w:rPr>
          <w:rFonts w:asciiTheme="majorHAnsi" w:hAnsiTheme="majorHAnsi"/>
          <w:sz w:val="20"/>
          <w:szCs w:val="22"/>
        </w:rPr>
        <w:t xml:space="preserve">  This</w:t>
      </w:r>
      <w:proofErr w:type="gramEnd"/>
      <w:r w:rsidR="006F370A" w:rsidRPr="009457C5">
        <w:rPr>
          <w:rFonts w:asciiTheme="majorHAnsi" w:hAnsiTheme="majorHAnsi"/>
          <w:sz w:val="20"/>
          <w:szCs w:val="22"/>
        </w:rPr>
        <w:t xml:space="preserve"> is sometime referred to as metrological traceability.</w:t>
      </w:r>
    </w:p>
    <w:p w14:paraId="0CEFFA95" w14:textId="77777777" w:rsidR="008D5C7B" w:rsidRDefault="008D5C7B" w:rsidP="009A3B1E">
      <w:pPr>
        <w:pStyle w:val="BodyText"/>
        <w:widowControl/>
        <w:numPr>
          <w:ilvl w:val="2"/>
          <w:numId w:val="7"/>
        </w:numPr>
        <w:tabs>
          <w:tab w:val="left" w:pos="360"/>
          <w:tab w:val="left" w:pos="801"/>
        </w:tabs>
        <w:ind w:left="0" w:firstLine="0"/>
        <w:jc w:val="both"/>
        <w:rPr>
          <w:rFonts w:asciiTheme="majorHAnsi" w:hAnsiTheme="majorHAnsi"/>
          <w:b/>
          <w:sz w:val="22"/>
          <w:szCs w:val="22"/>
        </w:rPr>
      </w:pPr>
    </w:p>
    <w:p w14:paraId="6D6CE969" w14:textId="7C85008A" w:rsidR="003F5EAA" w:rsidRPr="00827F98" w:rsidRDefault="0005623F" w:rsidP="009457C5">
      <w:pPr>
        <w:pStyle w:val="BodyText"/>
        <w:widowControl/>
        <w:tabs>
          <w:tab w:val="left" w:pos="360"/>
          <w:tab w:val="left" w:pos="801"/>
        </w:tabs>
        <w:ind w:left="0"/>
        <w:jc w:val="both"/>
        <w:rPr>
          <w:rFonts w:asciiTheme="majorHAnsi" w:hAnsiTheme="majorHAnsi"/>
          <w:b/>
          <w:sz w:val="22"/>
          <w:szCs w:val="22"/>
        </w:rPr>
      </w:pPr>
      <w:r>
        <w:rPr>
          <w:rFonts w:asciiTheme="majorHAnsi" w:hAnsiTheme="majorHAnsi"/>
          <w:b/>
          <w:sz w:val="22"/>
          <w:szCs w:val="22"/>
        </w:rPr>
        <w:t>r</w:t>
      </w:r>
      <w:r w:rsidR="00334E61" w:rsidRPr="00827F98">
        <w:rPr>
          <w:rFonts w:asciiTheme="majorHAnsi" w:hAnsiTheme="majorHAnsi"/>
          <w:b/>
          <w:sz w:val="22"/>
          <w:szCs w:val="22"/>
        </w:rPr>
        <w:t xml:space="preserve">eference </w:t>
      </w:r>
      <w:r w:rsidR="003F5EAA" w:rsidRPr="00827F98">
        <w:rPr>
          <w:rFonts w:asciiTheme="majorHAnsi" w:hAnsiTheme="majorHAnsi"/>
          <w:b/>
          <w:sz w:val="22"/>
          <w:szCs w:val="22"/>
        </w:rPr>
        <w:t>m</w:t>
      </w:r>
      <w:r w:rsidR="00334E61" w:rsidRPr="00827F98">
        <w:rPr>
          <w:rFonts w:asciiTheme="majorHAnsi" w:hAnsiTheme="majorHAnsi"/>
          <w:b/>
          <w:sz w:val="22"/>
          <w:szCs w:val="22"/>
        </w:rPr>
        <w:t>aterial</w:t>
      </w:r>
    </w:p>
    <w:p w14:paraId="064365B2" w14:textId="15729E9B" w:rsidR="00537F01" w:rsidRPr="00827F98" w:rsidRDefault="003F5EAA">
      <w:pPr>
        <w:pStyle w:val="BodyText"/>
        <w:widowControl/>
        <w:tabs>
          <w:tab w:val="left" w:pos="360"/>
          <w:tab w:val="left" w:pos="801"/>
        </w:tabs>
        <w:spacing w:after="240"/>
        <w:ind w:left="0"/>
        <w:jc w:val="both"/>
        <w:rPr>
          <w:rFonts w:asciiTheme="majorHAnsi" w:hAnsiTheme="majorHAnsi"/>
          <w:sz w:val="22"/>
          <w:szCs w:val="22"/>
        </w:rPr>
      </w:pPr>
      <w:r w:rsidRPr="00827F98">
        <w:rPr>
          <w:rFonts w:asciiTheme="majorHAnsi" w:hAnsiTheme="majorHAnsi"/>
          <w:sz w:val="22"/>
          <w:szCs w:val="22"/>
        </w:rPr>
        <w:t>M</w:t>
      </w:r>
      <w:r w:rsidR="00334E61" w:rsidRPr="00827F98">
        <w:rPr>
          <w:rFonts w:asciiTheme="majorHAnsi" w:hAnsiTheme="majorHAnsi"/>
          <w:sz w:val="22"/>
          <w:szCs w:val="22"/>
        </w:rPr>
        <w:t>aterial, sufficiently homogeneous and stable with</w:t>
      </w:r>
      <w:r w:rsidR="00334E61" w:rsidRPr="00827F98">
        <w:rPr>
          <w:rFonts w:asciiTheme="majorHAnsi" w:hAnsiTheme="majorHAnsi"/>
          <w:w w:val="99"/>
          <w:sz w:val="22"/>
          <w:szCs w:val="22"/>
        </w:rPr>
        <w:t xml:space="preserve"> </w:t>
      </w:r>
      <w:r w:rsidR="00334E61" w:rsidRPr="00827F98">
        <w:rPr>
          <w:rFonts w:asciiTheme="majorHAnsi" w:hAnsiTheme="majorHAnsi"/>
          <w:sz w:val="22"/>
          <w:szCs w:val="22"/>
        </w:rPr>
        <w:t xml:space="preserve">reference to specified properties, which </w:t>
      </w:r>
      <w:r w:rsidR="007B4B76">
        <w:rPr>
          <w:rFonts w:asciiTheme="majorHAnsi" w:hAnsiTheme="majorHAnsi"/>
          <w:sz w:val="22"/>
          <w:szCs w:val="22"/>
        </w:rPr>
        <w:t>has</w:t>
      </w:r>
      <w:r w:rsidR="007B4B76" w:rsidRPr="00827F98">
        <w:rPr>
          <w:rFonts w:asciiTheme="majorHAnsi" w:hAnsiTheme="majorHAnsi"/>
          <w:sz w:val="22"/>
          <w:szCs w:val="22"/>
        </w:rPr>
        <w:t xml:space="preserve"> </w:t>
      </w:r>
      <w:r w:rsidR="00334E61" w:rsidRPr="00827F98">
        <w:rPr>
          <w:rFonts w:asciiTheme="majorHAnsi" w:hAnsiTheme="majorHAnsi"/>
          <w:sz w:val="22"/>
          <w:szCs w:val="22"/>
        </w:rPr>
        <w:t>been established to be fit for its</w:t>
      </w:r>
      <w:r w:rsidR="00334E61" w:rsidRPr="00827F98">
        <w:rPr>
          <w:rFonts w:asciiTheme="majorHAnsi" w:hAnsiTheme="majorHAnsi"/>
          <w:w w:val="99"/>
          <w:sz w:val="22"/>
          <w:szCs w:val="22"/>
        </w:rPr>
        <w:t xml:space="preserve"> </w:t>
      </w:r>
      <w:r w:rsidR="00334E61" w:rsidRPr="00827F98">
        <w:rPr>
          <w:rFonts w:asciiTheme="majorHAnsi" w:hAnsiTheme="majorHAnsi"/>
          <w:sz w:val="22"/>
          <w:szCs w:val="22"/>
        </w:rPr>
        <w:t>intended use in a measurement or in examination of nominal properties.</w:t>
      </w:r>
    </w:p>
    <w:p w14:paraId="62A11D93" w14:textId="77777777" w:rsidR="00537F01" w:rsidRPr="00827F98" w:rsidRDefault="00334E61" w:rsidP="009A2E65">
      <w:pPr>
        <w:pStyle w:val="Heading1"/>
        <w:keepNext/>
        <w:widowControl/>
        <w:numPr>
          <w:ilvl w:val="1"/>
          <w:numId w:val="7"/>
        </w:numPr>
        <w:tabs>
          <w:tab w:val="left" w:pos="360"/>
        </w:tabs>
        <w:spacing w:after="240"/>
        <w:ind w:left="0" w:firstLine="0"/>
        <w:rPr>
          <w:rFonts w:asciiTheme="majorHAnsi" w:hAnsiTheme="majorHAnsi"/>
          <w:b w:val="0"/>
          <w:bCs w:val="0"/>
          <w:szCs w:val="22"/>
        </w:rPr>
      </w:pPr>
      <w:bookmarkStart w:id="3" w:name="_Toc494723952"/>
      <w:r w:rsidRPr="00827F98">
        <w:rPr>
          <w:rFonts w:asciiTheme="majorHAnsi" w:hAnsiTheme="majorHAnsi"/>
          <w:szCs w:val="22"/>
        </w:rPr>
        <w:t>General Measurement Traceability</w:t>
      </w:r>
      <w:bookmarkEnd w:id="3"/>
    </w:p>
    <w:p w14:paraId="59F88E48" w14:textId="77777777" w:rsidR="00537F01" w:rsidRPr="00827F98" w:rsidRDefault="00334E61" w:rsidP="009A2E65">
      <w:pPr>
        <w:widowControl/>
        <w:numPr>
          <w:ilvl w:val="2"/>
          <w:numId w:val="7"/>
        </w:numPr>
        <w:tabs>
          <w:tab w:val="left" w:pos="540"/>
          <w:tab w:val="left" w:pos="1161"/>
        </w:tabs>
        <w:spacing w:after="240"/>
        <w:ind w:left="0" w:firstLine="0"/>
        <w:rPr>
          <w:rFonts w:asciiTheme="majorHAnsi" w:eastAsia="Cambria" w:hAnsiTheme="majorHAnsi" w:cs="Cambria"/>
        </w:rPr>
      </w:pPr>
      <w:r w:rsidRPr="00827F98">
        <w:rPr>
          <w:rFonts w:asciiTheme="majorHAnsi" w:hAnsiTheme="majorHAnsi"/>
          <w:b/>
        </w:rPr>
        <w:t>Background</w:t>
      </w:r>
    </w:p>
    <w:p w14:paraId="2F773FFE" w14:textId="77777777" w:rsidR="00537F01" w:rsidRPr="00827F98" w:rsidRDefault="00334E61" w:rsidP="009A3B1E">
      <w:pPr>
        <w:pStyle w:val="BodyText"/>
        <w:widowControl/>
        <w:tabs>
          <w:tab w:val="left" w:pos="720"/>
        </w:tabs>
        <w:spacing w:after="240"/>
        <w:ind w:left="0"/>
        <w:jc w:val="both"/>
        <w:rPr>
          <w:rFonts w:asciiTheme="majorHAnsi" w:hAnsiTheme="majorHAnsi"/>
          <w:sz w:val="22"/>
          <w:szCs w:val="22"/>
        </w:rPr>
      </w:pPr>
      <w:r w:rsidRPr="00827F98">
        <w:rPr>
          <w:rFonts w:asciiTheme="majorHAnsi" w:hAnsiTheme="majorHAnsi"/>
          <w:b/>
          <w:w w:val="95"/>
          <w:sz w:val="22"/>
          <w:szCs w:val="22"/>
        </w:rPr>
        <w:t>4.1.1</w:t>
      </w:r>
      <w:r w:rsidR="00FA3994" w:rsidRPr="00827F98">
        <w:rPr>
          <w:rFonts w:asciiTheme="majorHAnsi" w:hAnsiTheme="majorHAnsi"/>
          <w:w w:val="95"/>
          <w:sz w:val="22"/>
          <w:szCs w:val="22"/>
        </w:rPr>
        <w:tab/>
      </w:r>
      <w:r w:rsidRPr="00827F98">
        <w:rPr>
          <w:rFonts w:asciiTheme="majorHAnsi" w:hAnsiTheme="majorHAnsi"/>
          <w:sz w:val="22"/>
          <w:szCs w:val="22"/>
        </w:rPr>
        <w:t xml:space="preserve">Some </w:t>
      </w:r>
      <w:r w:rsidR="00E6781F" w:rsidRPr="00827F98">
        <w:rPr>
          <w:rFonts w:asciiTheme="majorHAnsi" w:hAnsiTheme="majorHAnsi"/>
          <w:sz w:val="22"/>
          <w:szCs w:val="22"/>
        </w:rPr>
        <w:t>measurement processes</w:t>
      </w:r>
      <w:r w:rsidR="00FC14FA" w:rsidRPr="00827F98">
        <w:rPr>
          <w:rFonts w:asciiTheme="majorHAnsi" w:hAnsiTheme="majorHAnsi"/>
          <w:sz w:val="22"/>
          <w:szCs w:val="22"/>
        </w:rPr>
        <w:t xml:space="preserve"> </w:t>
      </w:r>
      <w:r w:rsidRPr="00827F98">
        <w:rPr>
          <w:rFonts w:asciiTheme="majorHAnsi" w:hAnsiTheme="majorHAnsi"/>
          <w:sz w:val="22"/>
          <w:szCs w:val="22"/>
        </w:rPr>
        <w:t>require</w:t>
      </w:r>
      <w:r w:rsidR="00FC14FA" w:rsidRPr="00827F98">
        <w:rPr>
          <w:rFonts w:asciiTheme="majorHAnsi" w:hAnsiTheme="majorHAnsi"/>
          <w:sz w:val="22"/>
          <w:szCs w:val="22"/>
        </w:rPr>
        <w:t xml:space="preserve"> </w:t>
      </w:r>
      <w:r w:rsidRPr="00827F98">
        <w:rPr>
          <w:rFonts w:asciiTheme="majorHAnsi" w:hAnsiTheme="majorHAnsi"/>
          <w:sz w:val="22"/>
          <w:szCs w:val="22"/>
        </w:rPr>
        <w:t>only</w:t>
      </w:r>
      <w:r w:rsidR="00FC14FA" w:rsidRPr="00827F98">
        <w:rPr>
          <w:rFonts w:asciiTheme="majorHAnsi" w:hAnsiTheme="majorHAnsi"/>
          <w:sz w:val="22"/>
          <w:szCs w:val="22"/>
        </w:rPr>
        <w:t xml:space="preserve"> </w:t>
      </w:r>
      <w:r w:rsidRPr="00827F98">
        <w:rPr>
          <w:rFonts w:asciiTheme="majorHAnsi" w:hAnsiTheme="majorHAnsi"/>
          <w:sz w:val="22"/>
          <w:szCs w:val="22"/>
        </w:rPr>
        <w:t>a</w:t>
      </w:r>
      <w:r w:rsidR="00FC14FA" w:rsidRPr="00827F98">
        <w:rPr>
          <w:rFonts w:asciiTheme="majorHAnsi" w:hAnsiTheme="majorHAnsi"/>
          <w:sz w:val="22"/>
          <w:szCs w:val="22"/>
        </w:rPr>
        <w:t xml:space="preserve"> </w:t>
      </w:r>
      <w:r w:rsidRPr="00827F98">
        <w:rPr>
          <w:rFonts w:asciiTheme="majorHAnsi" w:hAnsiTheme="majorHAnsi"/>
          <w:sz w:val="22"/>
          <w:szCs w:val="22"/>
        </w:rPr>
        <w:t>single</w:t>
      </w:r>
      <w:r w:rsidR="00FC14FA" w:rsidRPr="00827F98">
        <w:rPr>
          <w:rFonts w:asciiTheme="majorHAnsi" w:hAnsiTheme="majorHAnsi"/>
          <w:sz w:val="22"/>
          <w:szCs w:val="22"/>
        </w:rPr>
        <w:t xml:space="preserve"> </w:t>
      </w:r>
      <w:r w:rsidRPr="00827F98">
        <w:rPr>
          <w:rFonts w:asciiTheme="majorHAnsi" w:hAnsiTheme="majorHAnsi"/>
          <w:sz w:val="22"/>
          <w:szCs w:val="22"/>
        </w:rPr>
        <w:t>step,</w:t>
      </w:r>
      <w:r w:rsidR="00FC14FA" w:rsidRPr="00827F98">
        <w:rPr>
          <w:rFonts w:asciiTheme="majorHAnsi" w:hAnsiTheme="majorHAnsi"/>
          <w:sz w:val="22"/>
          <w:szCs w:val="22"/>
        </w:rPr>
        <w:t xml:space="preserve"> </w:t>
      </w:r>
      <w:r w:rsidRPr="00827F98">
        <w:rPr>
          <w:rFonts w:asciiTheme="majorHAnsi" w:hAnsiTheme="majorHAnsi"/>
          <w:sz w:val="22"/>
          <w:szCs w:val="22"/>
        </w:rPr>
        <w:t>whereas</w:t>
      </w:r>
      <w:r w:rsidRPr="00827F98">
        <w:rPr>
          <w:rFonts w:asciiTheme="majorHAnsi" w:hAnsiTheme="majorHAnsi"/>
          <w:w w:val="99"/>
          <w:sz w:val="22"/>
          <w:szCs w:val="22"/>
        </w:rPr>
        <w:t xml:space="preserve"> </w:t>
      </w:r>
      <w:r w:rsidRPr="00827F98">
        <w:rPr>
          <w:rFonts w:asciiTheme="majorHAnsi" w:hAnsiTheme="majorHAnsi"/>
          <w:sz w:val="22"/>
          <w:szCs w:val="22"/>
        </w:rPr>
        <w:t>others may require more than one step.</w:t>
      </w:r>
    </w:p>
    <w:p w14:paraId="0CDEB2F7" w14:textId="693B5D13" w:rsidR="00537F01" w:rsidRPr="00827F98" w:rsidRDefault="00334E61">
      <w:pPr>
        <w:pStyle w:val="BodyText"/>
        <w:widowControl/>
        <w:tabs>
          <w:tab w:val="left" w:pos="360"/>
        </w:tabs>
        <w:spacing w:after="240"/>
        <w:ind w:left="360"/>
        <w:jc w:val="both"/>
        <w:rPr>
          <w:rFonts w:asciiTheme="majorHAnsi" w:hAnsiTheme="majorHAnsi"/>
          <w:sz w:val="22"/>
          <w:szCs w:val="22"/>
        </w:rPr>
      </w:pPr>
      <w:r w:rsidRPr="00827F98">
        <w:rPr>
          <w:rFonts w:asciiTheme="majorHAnsi" w:hAnsiTheme="majorHAnsi"/>
          <w:b/>
          <w:sz w:val="22"/>
          <w:szCs w:val="22"/>
        </w:rPr>
        <w:t>Measurement</w:t>
      </w:r>
      <w:r w:rsidRPr="00827F98">
        <w:rPr>
          <w:rFonts w:asciiTheme="majorHAnsi" w:hAnsiTheme="majorHAnsi"/>
          <w:sz w:val="22"/>
          <w:szCs w:val="22"/>
        </w:rPr>
        <w:t>: process of experimentally obtaining one or more quantity values that can reasonably be attributed</w:t>
      </w:r>
      <w:r w:rsidRPr="00827F98">
        <w:rPr>
          <w:rFonts w:asciiTheme="majorHAnsi" w:hAnsiTheme="majorHAnsi"/>
          <w:w w:val="99"/>
          <w:sz w:val="22"/>
          <w:szCs w:val="22"/>
        </w:rPr>
        <w:t xml:space="preserve"> </w:t>
      </w:r>
      <w:r w:rsidRPr="00827F98">
        <w:rPr>
          <w:rFonts w:asciiTheme="majorHAnsi" w:hAnsiTheme="majorHAnsi"/>
          <w:sz w:val="22"/>
          <w:szCs w:val="22"/>
        </w:rPr>
        <w:t>to a quantity.</w:t>
      </w:r>
      <w:r w:rsidR="00506EBA" w:rsidRPr="00506EBA">
        <w:rPr>
          <w:rFonts w:asciiTheme="majorHAnsi" w:hAnsiTheme="majorHAnsi" w:cs="Cambria"/>
          <w:b/>
          <w:vertAlign w:val="superscript"/>
        </w:rPr>
        <w:t xml:space="preserve"> </w:t>
      </w:r>
      <w:r w:rsidR="00506EBA" w:rsidRPr="009457C5">
        <w:rPr>
          <w:rFonts w:asciiTheme="majorHAnsi" w:hAnsiTheme="majorHAnsi" w:cs="Cambria"/>
          <w:vertAlign w:val="superscript"/>
        </w:rPr>
        <w:t>7</w:t>
      </w:r>
    </w:p>
    <w:p w14:paraId="56847057" w14:textId="77777777" w:rsidR="00537F01" w:rsidRPr="00827F98" w:rsidRDefault="00334E61" w:rsidP="009A3B1E">
      <w:pPr>
        <w:pStyle w:val="BodyText"/>
        <w:widowControl/>
        <w:tabs>
          <w:tab w:val="left" w:pos="360"/>
        </w:tabs>
        <w:spacing w:after="240"/>
        <w:ind w:left="0"/>
        <w:jc w:val="both"/>
        <w:rPr>
          <w:rFonts w:asciiTheme="majorHAnsi" w:hAnsiTheme="majorHAnsi"/>
          <w:sz w:val="22"/>
          <w:szCs w:val="22"/>
        </w:rPr>
      </w:pPr>
      <w:r w:rsidRPr="00827F98">
        <w:rPr>
          <w:rFonts w:asciiTheme="majorHAnsi" w:hAnsiTheme="majorHAnsi" w:cs="Cambria"/>
          <w:sz w:val="22"/>
          <w:szCs w:val="22"/>
        </w:rPr>
        <w:t xml:space="preserve">Importantly, “process” is the first word in the definition of measurement. </w:t>
      </w:r>
      <w:r w:rsidRPr="00827F98">
        <w:rPr>
          <w:rFonts w:asciiTheme="majorHAnsi" w:hAnsiTheme="majorHAnsi"/>
          <w:sz w:val="22"/>
          <w:szCs w:val="22"/>
        </w:rPr>
        <w:t>Measurement relates to the whole process of obtaining a quantity value.</w:t>
      </w:r>
    </w:p>
    <w:p w14:paraId="31D6A5CE" w14:textId="77777777" w:rsidR="00537F01" w:rsidRPr="00827F98" w:rsidRDefault="00334E61" w:rsidP="009A3B1E">
      <w:pPr>
        <w:pStyle w:val="BodyText"/>
        <w:widowControl/>
        <w:tabs>
          <w:tab w:val="left" w:pos="360"/>
        </w:tabs>
        <w:spacing w:after="240"/>
        <w:ind w:left="0"/>
        <w:jc w:val="both"/>
        <w:rPr>
          <w:rFonts w:asciiTheme="majorHAnsi" w:hAnsiTheme="majorHAnsi"/>
          <w:sz w:val="22"/>
          <w:szCs w:val="22"/>
        </w:rPr>
      </w:pPr>
      <w:r w:rsidRPr="00827F98">
        <w:rPr>
          <w:rFonts w:asciiTheme="majorHAnsi" w:hAnsiTheme="majorHAnsi"/>
          <w:sz w:val="22"/>
          <w:szCs w:val="22"/>
        </w:rPr>
        <w:t>Related terms:</w:t>
      </w:r>
    </w:p>
    <w:p w14:paraId="12A38E67" w14:textId="256E87A8" w:rsidR="00537F01" w:rsidRPr="00827F98" w:rsidRDefault="00334E61">
      <w:pPr>
        <w:pStyle w:val="BodyText"/>
        <w:widowControl/>
        <w:tabs>
          <w:tab w:val="left" w:pos="360"/>
        </w:tabs>
        <w:spacing w:after="240"/>
        <w:ind w:left="360"/>
        <w:jc w:val="both"/>
        <w:rPr>
          <w:rFonts w:asciiTheme="majorHAnsi" w:hAnsiTheme="majorHAnsi"/>
          <w:sz w:val="22"/>
          <w:szCs w:val="22"/>
        </w:rPr>
      </w:pPr>
      <w:r w:rsidRPr="00827F98">
        <w:rPr>
          <w:rFonts w:asciiTheme="majorHAnsi" w:hAnsiTheme="majorHAnsi"/>
          <w:b/>
          <w:sz w:val="22"/>
          <w:szCs w:val="22"/>
        </w:rPr>
        <w:t>Quantity</w:t>
      </w:r>
      <w:r w:rsidRPr="00827F98">
        <w:rPr>
          <w:rFonts w:asciiTheme="majorHAnsi" w:hAnsiTheme="majorHAnsi"/>
          <w:sz w:val="22"/>
          <w:szCs w:val="22"/>
        </w:rPr>
        <w:t>: property of a phenomenon, body, or</w:t>
      </w:r>
      <w:r w:rsidRPr="00827F98">
        <w:rPr>
          <w:rFonts w:asciiTheme="majorHAnsi" w:hAnsiTheme="majorHAnsi"/>
          <w:w w:val="99"/>
          <w:sz w:val="22"/>
          <w:szCs w:val="22"/>
        </w:rPr>
        <w:t xml:space="preserve"> </w:t>
      </w:r>
      <w:r w:rsidRPr="00827F98">
        <w:rPr>
          <w:rFonts w:asciiTheme="majorHAnsi" w:hAnsiTheme="majorHAnsi"/>
          <w:sz w:val="22"/>
          <w:szCs w:val="22"/>
        </w:rPr>
        <w:t>substance, where the property has a magnitude that can be</w:t>
      </w:r>
      <w:r w:rsidRPr="00827F98">
        <w:rPr>
          <w:rFonts w:asciiTheme="majorHAnsi" w:hAnsiTheme="majorHAnsi"/>
          <w:w w:val="99"/>
          <w:sz w:val="22"/>
          <w:szCs w:val="22"/>
        </w:rPr>
        <w:t xml:space="preserve"> </w:t>
      </w:r>
      <w:r w:rsidRPr="00827F98">
        <w:rPr>
          <w:rFonts w:asciiTheme="majorHAnsi" w:hAnsiTheme="majorHAnsi"/>
          <w:sz w:val="22"/>
          <w:szCs w:val="22"/>
        </w:rPr>
        <w:t>expressed as a number and a reference.</w:t>
      </w:r>
      <w:r w:rsidR="00506EBA" w:rsidRPr="00506EBA">
        <w:rPr>
          <w:rFonts w:asciiTheme="majorHAnsi" w:hAnsiTheme="majorHAnsi" w:cs="Cambria"/>
          <w:b/>
          <w:vertAlign w:val="superscript"/>
        </w:rPr>
        <w:t xml:space="preserve"> </w:t>
      </w:r>
      <w:r w:rsidR="00506EBA" w:rsidRPr="009457C5">
        <w:rPr>
          <w:rFonts w:asciiTheme="majorHAnsi" w:hAnsiTheme="majorHAnsi" w:cs="Cambria"/>
          <w:vertAlign w:val="superscript"/>
        </w:rPr>
        <w:t>7</w:t>
      </w:r>
    </w:p>
    <w:p w14:paraId="279AD299" w14:textId="1C570523" w:rsidR="00537F01" w:rsidRPr="00827F98" w:rsidRDefault="00334E61">
      <w:pPr>
        <w:widowControl/>
        <w:tabs>
          <w:tab w:val="left" w:pos="360"/>
        </w:tabs>
        <w:spacing w:after="240"/>
        <w:ind w:left="360"/>
        <w:jc w:val="both"/>
        <w:rPr>
          <w:rFonts w:asciiTheme="majorHAnsi" w:eastAsia="Cambria" w:hAnsiTheme="majorHAnsi" w:cs="Cambria"/>
        </w:rPr>
      </w:pPr>
      <w:r w:rsidRPr="00827F98">
        <w:rPr>
          <w:rFonts w:asciiTheme="majorHAnsi" w:hAnsiTheme="majorHAnsi"/>
          <w:b/>
        </w:rPr>
        <w:t>Quantity Value</w:t>
      </w:r>
      <w:r w:rsidRPr="00827F98">
        <w:rPr>
          <w:rFonts w:asciiTheme="majorHAnsi" w:hAnsiTheme="majorHAnsi"/>
        </w:rPr>
        <w:t>: number and reference together</w:t>
      </w:r>
      <w:r w:rsidRPr="00827F98">
        <w:rPr>
          <w:rFonts w:asciiTheme="majorHAnsi" w:hAnsiTheme="majorHAnsi"/>
          <w:w w:val="99"/>
        </w:rPr>
        <w:t xml:space="preserve"> </w:t>
      </w:r>
      <w:r w:rsidRPr="00827F98">
        <w:rPr>
          <w:rFonts w:asciiTheme="majorHAnsi" w:hAnsiTheme="majorHAnsi"/>
        </w:rPr>
        <w:t>expressing magnitude of a quantity.</w:t>
      </w:r>
      <w:r w:rsidR="00506EBA" w:rsidRPr="00506EBA">
        <w:rPr>
          <w:rFonts w:asciiTheme="majorHAnsi" w:eastAsia="Cambria" w:hAnsiTheme="majorHAnsi" w:cs="Cambria"/>
          <w:b/>
          <w:vertAlign w:val="superscript"/>
        </w:rPr>
        <w:t xml:space="preserve"> </w:t>
      </w:r>
      <w:r w:rsidR="00506EBA" w:rsidRPr="009457C5">
        <w:rPr>
          <w:rFonts w:asciiTheme="majorHAnsi" w:eastAsia="Cambria" w:hAnsiTheme="majorHAnsi" w:cs="Cambria"/>
          <w:vertAlign w:val="superscript"/>
        </w:rPr>
        <w:t>7</w:t>
      </w:r>
    </w:p>
    <w:p w14:paraId="798DEE80" w14:textId="77777777" w:rsidR="00537F01" w:rsidRPr="00827F98" w:rsidRDefault="00334E61" w:rsidP="009A3B1E">
      <w:pPr>
        <w:pStyle w:val="BodyText"/>
        <w:widowControl/>
        <w:tabs>
          <w:tab w:val="left" w:pos="360"/>
        </w:tabs>
        <w:spacing w:after="240"/>
        <w:ind w:left="0"/>
        <w:jc w:val="both"/>
        <w:rPr>
          <w:rFonts w:asciiTheme="majorHAnsi" w:hAnsiTheme="majorHAnsi"/>
          <w:sz w:val="22"/>
          <w:szCs w:val="22"/>
        </w:rPr>
      </w:pPr>
      <w:r w:rsidRPr="00827F98">
        <w:rPr>
          <w:rFonts w:asciiTheme="majorHAnsi" w:hAnsiTheme="majorHAnsi"/>
          <w:sz w:val="22"/>
          <w:szCs w:val="22"/>
        </w:rPr>
        <w:t>Quantity Value example (Toxicology):</w:t>
      </w:r>
    </w:p>
    <w:p w14:paraId="5503AA2C" w14:textId="77777777" w:rsidR="00537F01" w:rsidRDefault="00334E61">
      <w:pPr>
        <w:pStyle w:val="BodyText"/>
        <w:widowControl/>
        <w:tabs>
          <w:tab w:val="left" w:pos="360"/>
        </w:tabs>
        <w:spacing w:after="240"/>
        <w:ind w:left="360"/>
        <w:jc w:val="both"/>
        <w:rPr>
          <w:rFonts w:asciiTheme="majorHAnsi" w:hAnsiTheme="majorHAnsi"/>
          <w:sz w:val="22"/>
          <w:szCs w:val="22"/>
        </w:rPr>
      </w:pPr>
      <w:r w:rsidRPr="00827F98">
        <w:rPr>
          <w:rFonts w:asciiTheme="majorHAnsi" w:hAnsiTheme="majorHAnsi"/>
          <w:sz w:val="22"/>
          <w:szCs w:val="22"/>
        </w:rPr>
        <w:t>Blood alcohol content: 0.158 grams of ethanol per 100 mL of blood</w:t>
      </w:r>
      <w:r w:rsidR="00775F78" w:rsidRPr="00827F98">
        <w:rPr>
          <w:rFonts w:asciiTheme="majorHAnsi" w:hAnsiTheme="majorHAnsi"/>
          <w:sz w:val="22"/>
          <w:szCs w:val="22"/>
        </w:rPr>
        <w:t>.</w:t>
      </w:r>
    </w:p>
    <w:p w14:paraId="1EA9F439" w14:textId="59AFA0C5" w:rsidR="00537F01" w:rsidRPr="00827F98" w:rsidRDefault="00420507" w:rsidP="009A3B1E">
      <w:pPr>
        <w:pStyle w:val="BodyText"/>
        <w:widowControl/>
        <w:numPr>
          <w:ilvl w:val="2"/>
          <w:numId w:val="5"/>
        </w:numPr>
        <w:tabs>
          <w:tab w:val="left" w:pos="720"/>
          <w:tab w:val="left" w:pos="1881"/>
        </w:tabs>
        <w:spacing w:after="240"/>
        <w:ind w:left="0" w:firstLine="0"/>
        <w:jc w:val="both"/>
        <w:rPr>
          <w:rFonts w:asciiTheme="majorHAnsi" w:hAnsiTheme="majorHAnsi"/>
          <w:sz w:val="22"/>
          <w:szCs w:val="22"/>
        </w:rPr>
      </w:pPr>
      <w:r w:rsidRPr="00827F98">
        <w:rPr>
          <w:rFonts w:asciiTheme="majorHAnsi" w:hAnsiTheme="majorHAnsi"/>
          <w:sz w:val="22"/>
          <w:szCs w:val="22"/>
        </w:rPr>
        <w:t xml:space="preserve">Measurements </w:t>
      </w:r>
      <w:r w:rsidR="00C02C99">
        <w:rPr>
          <w:rFonts w:asciiTheme="majorHAnsi" w:hAnsiTheme="majorHAnsi"/>
          <w:sz w:val="22"/>
          <w:szCs w:val="22"/>
        </w:rPr>
        <w:t>are made</w:t>
      </w:r>
      <w:r w:rsidR="00C02C99" w:rsidRPr="00827F98">
        <w:rPr>
          <w:rFonts w:asciiTheme="majorHAnsi" w:hAnsiTheme="majorHAnsi"/>
          <w:sz w:val="22"/>
          <w:szCs w:val="22"/>
        </w:rPr>
        <w:t xml:space="preserve"> </w:t>
      </w:r>
      <w:r w:rsidRPr="00827F98">
        <w:rPr>
          <w:rFonts w:asciiTheme="majorHAnsi" w:hAnsiTheme="majorHAnsi"/>
          <w:sz w:val="22"/>
          <w:szCs w:val="22"/>
        </w:rPr>
        <w:t>in different ways in testing and</w:t>
      </w:r>
      <w:r w:rsidR="00334E61" w:rsidRPr="00827F98">
        <w:rPr>
          <w:rFonts w:asciiTheme="majorHAnsi" w:hAnsiTheme="majorHAnsi"/>
          <w:sz w:val="22"/>
          <w:szCs w:val="22"/>
        </w:rPr>
        <w:t xml:space="preserve"> calibration processes. </w:t>
      </w:r>
      <w:r w:rsidR="007A5B14">
        <w:rPr>
          <w:rFonts w:asciiTheme="majorHAnsi" w:hAnsiTheme="majorHAnsi"/>
          <w:sz w:val="22"/>
          <w:szCs w:val="22"/>
        </w:rPr>
        <w:t>A</w:t>
      </w:r>
      <w:r w:rsidR="007A5B14" w:rsidRPr="00827F98">
        <w:rPr>
          <w:rFonts w:asciiTheme="majorHAnsi" w:hAnsiTheme="majorHAnsi"/>
          <w:sz w:val="22"/>
          <w:szCs w:val="22"/>
        </w:rPr>
        <w:t xml:space="preserve"> </w:t>
      </w:r>
      <w:r w:rsidR="00334E61" w:rsidRPr="00827F98">
        <w:rPr>
          <w:rFonts w:asciiTheme="majorHAnsi" w:hAnsiTheme="majorHAnsi"/>
          <w:sz w:val="22"/>
          <w:szCs w:val="22"/>
        </w:rPr>
        <w:t>measurement may be:</w:t>
      </w:r>
    </w:p>
    <w:p w14:paraId="790AF1EA" w14:textId="3A236D7C" w:rsidR="00537F01" w:rsidRDefault="007A5B14" w:rsidP="009A3B1E">
      <w:pPr>
        <w:pStyle w:val="BodyText"/>
        <w:widowControl/>
        <w:numPr>
          <w:ilvl w:val="3"/>
          <w:numId w:val="5"/>
        </w:numPr>
        <w:tabs>
          <w:tab w:val="left" w:pos="360"/>
          <w:tab w:val="left" w:pos="2601"/>
        </w:tabs>
        <w:spacing w:after="240"/>
        <w:ind w:left="0" w:firstLine="0"/>
        <w:jc w:val="both"/>
        <w:rPr>
          <w:rFonts w:asciiTheme="majorHAnsi" w:hAnsiTheme="majorHAnsi"/>
          <w:sz w:val="22"/>
          <w:szCs w:val="22"/>
        </w:rPr>
      </w:pPr>
      <w:r>
        <w:rPr>
          <w:rFonts w:asciiTheme="majorHAnsi" w:hAnsiTheme="majorHAnsi"/>
          <w:sz w:val="22"/>
          <w:szCs w:val="22"/>
        </w:rPr>
        <w:t>a</w:t>
      </w:r>
      <w:r w:rsidRPr="00827F98">
        <w:rPr>
          <w:rFonts w:asciiTheme="majorHAnsi" w:hAnsiTheme="majorHAnsi"/>
          <w:sz w:val="22"/>
          <w:szCs w:val="22"/>
        </w:rPr>
        <w:t xml:space="preserve"> </w:t>
      </w:r>
      <w:r w:rsidR="00334E61" w:rsidRPr="00827F98">
        <w:rPr>
          <w:rFonts w:asciiTheme="majorHAnsi" w:hAnsiTheme="majorHAnsi"/>
          <w:sz w:val="22"/>
          <w:szCs w:val="22"/>
        </w:rPr>
        <w:t>reported test result;</w:t>
      </w:r>
    </w:p>
    <w:p w14:paraId="2C1A549A" w14:textId="092C6C3E" w:rsidR="007A5B14" w:rsidRPr="00827F98" w:rsidRDefault="007A5B14" w:rsidP="009A3B1E">
      <w:pPr>
        <w:pStyle w:val="BodyText"/>
        <w:widowControl/>
        <w:numPr>
          <w:ilvl w:val="3"/>
          <w:numId w:val="5"/>
        </w:numPr>
        <w:tabs>
          <w:tab w:val="left" w:pos="360"/>
          <w:tab w:val="left" w:pos="2601"/>
        </w:tabs>
        <w:spacing w:after="240"/>
        <w:ind w:left="0" w:firstLine="0"/>
        <w:jc w:val="both"/>
        <w:rPr>
          <w:rFonts w:asciiTheme="majorHAnsi" w:hAnsiTheme="majorHAnsi"/>
          <w:sz w:val="22"/>
          <w:szCs w:val="22"/>
        </w:rPr>
      </w:pPr>
      <w:r>
        <w:rPr>
          <w:rFonts w:asciiTheme="majorHAnsi" w:hAnsiTheme="majorHAnsi"/>
          <w:sz w:val="22"/>
          <w:szCs w:val="22"/>
        </w:rPr>
        <w:t>a reported calibration result; or</w:t>
      </w:r>
    </w:p>
    <w:p w14:paraId="33EF9B97" w14:textId="3FCA260D" w:rsidR="00537F01" w:rsidRPr="00827F98" w:rsidRDefault="00334E61" w:rsidP="009A3B1E">
      <w:pPr>
        <w:pStyle w:val="BodyText"/>
        <w:widowControl/>
        <w:numPr>
          <w:ilvl w:val="3"/>
          <w:numId w:val="5"/>
        </w:numPr>
        <w:tabs>
          <w:tab w:val="left" w:pos="360"/>
          <w:tab w:val="left" w:pos="2601"/>
        </w:tabs>
        <w:spacing w:after="240"/>
        <w:ind w:left="0" w:firstLine="0"/>
        <w:jc w:val="both"/>
        <w:rPr>
          <w:rFonts w:asciiTheme="majorHAnsi" w:hAnsiTheme="majorHAnsi"/>
          <w:sz w:val="22"/>
          <w:szCs w:val="22"/>
        </w:rPr>
      </w:pPr>
      <w:r w:rsidRPr="00827F98">
        <w:rPr>
          <w:rFonts w:asciiTheme="majorHAnsi" w:hAnsiTheme="majorHAnsi"/>
          <w:sz w:val="22"/>
          <w:szCs w:val="22"/>
        </w:rPr>
        <w:lastRenderedPageBreak/>
        <w:t xml:space="preserve">a quantitative decision point (cutoff) that results in a qualitative test report </w:t>
      </w:r>
    </w:p>
    <w:p w14:paraId="183F1549" w14:textId="77777777" w:rsidR="007A5B14" w:rsidRDefault="00334E61" w:rsidP="007A5B14">
      <w:pPr>
        <w:pStyle w:val="BodyText"/>
        <w:widowControl/>
        <w:tabs>
          <w:tab w:val="left" w:pos="360"/>
          <w:tab w:val="left" w:pos="2601"/>
        </w:tabs>
        <w:spacing w:after="240"/>
        <w:ind w:left="0"/>
        <w:jc w:val="both"/>
        <w:rPr>
          <w:rFonts w:asciiTheme="majorHAnsi" w:hAnsiTheme="majorHAnsi"/>
          <w:sz w:val="22"/>
          <w:szCs w:val="22"/>
        </w:rPr>
      </w:pPr>
      <w:r w:rsidRPr="00827F98">
        <w:rPr>
          <w:rFonts w:asciiTheme="majorHAnsi" w:hAnsiTheme="majorHAnsi"/>
          <w:sz w:val="22"/>
          <w:szCs w:val="22"/>
        </w:rPr>
        <w:t xml:space="preserve">In </w:t>
      </w:r>
      <w:proofErr w:type="gramStart"/>
      <w:r w:rsidRPr="00827F98">
        <w:rPr>
          <w:rFonts w:asciiTheme="majorHAnsi" w:hAnsiTheme="majorHAnsi"/>
          <w:sz w:val="22"/>
          <w:szCs w:val="22"/>
        </w:rPr>
        <w:t>all of</w:t>
      </w:r>
      <w:proofErr w:type="gramEnd"/>
      <w:r w:rsidRPr="00827F98">
        <w:rPr>
          <w:rFonts w:asciiTheme="majorHAnsi" w:hAnsiTheme="majorHAnsi"/>
          <w:sz w:val="22"/>
          <w:szCs w:val="22"/>
        </w:rPr>
        <w:t xml:space="preserve"> these scenarios, the measurement(s) may be used as the basis</w:t>
      </w:r>
      <w:r w:rsidRPr="00827F98">
        <w:rPr>
          <w:rFonts w:asciiTheme="majorHAnsi" w:hAnsiTheme="majorHAnsi"/>
          <w:w w:val="99"/>
          <w:sz w:val="22"/>
          <w:szCs w:val="22"/>
        </w:rPr>
        <w:t xml:space="preserve"> </w:t>
      </w:r>
      <w:r w:rsidRPr="00827F98">
        <w:rPr>
          <w:rFonts w:asciiTheme="majorHAnsi" w:hAnsiTheme="majorHAnsi"/>
          <w:sz w:val="22"/>
          <w:szCs w:val="22"/>
        </w:rPr>
        <w:t>for a conclusion, an interpretation, or an opinion.</w:t>
      </w:r>
      <w:r w:rsidR="007A5B14" w:rsidRPr="007A5B14">
        <w:rPr>
          <w:rFonts w:asciiTheme="majorHAnsi" w:hAnsiTheme="majorHAnsi"/>
          <w:sz w:val="22"/>
          <w:szCs w:val="22"/>
        </w:rPr>
        <w:t xml:space="preserve"> </w:t>
      </w:r>
    </w:p>
    <w:p w14:paraId="1F0CB984" w14:textId="60D1D1C2" w:rsidR="007A5B14" w:rsidRPr="009457C5" w:rsidRDefault="00D41BF2" w:rsidP="007A5B14">
      <w:pPr>
        <w:pStyle w:val="BodyText"/>
        <w:widowControl/>
        <w:tabs>
          <w:tab w:val="left" w:pos="360"/>
          <w:tab w:val="left" w:pos="2601"/>
        </w:tabs>
        <w:spacing w:after="240"/>
        <w:ind w:left="0"/>
        <w:jc w:val="both"/>
        <w:rPr>
          <w:rFonts w:asciiTheme="majorHAnsi" w:hAnsiTheme="majorHAnsi"/>
          <w:sz w:val="20"/>
          <w:szCs w:val="22"/>
        </w:rPr>
      </w:pPr>
      <w:proofErr w:type="gramStart"/>
      <w:r>
        <w:rPr>
          <w:rFonts w:asciiTheme="majorHAnsi" w:hAnsiTheme="majorHAnsi"/>
          <w:sz w:val="20"/>
          <w:szCs w:val="22"/>
        </w:rPr>
        <w:t>NOTE</w:t>
      </w:r>
      <w:r w:rsidR="007A5B14" w:rsidRPr="009457C5">
        <w:rPr>
          <w:rFonts w:asciiTheme="majorHAnsi" w:hAnsiTheme="majorHAnsi"/>
          <w:sz w:val="20"/>
          <w:szCs w:val="22"/>
        </w:rPr>
        <w:t xml:space="preserve">  A</w:t>
      </w:r>
      <w:proofErr w:type="gramEnd"/>
      <w:r w:rsidR="007A5B14" w:rsidRPr="009457C5">
        <w:rPr>
          <w:rFonts w:asciiTheme="majorHAnsi" w:hAnsiTheme="majorHAnsi"/>
          <w:sz w:val="20"/>
          <w:szCs w:val="22"/>
        </w:rPr>
        <w:t xml:space="preserve"> measurement may also be made during the testing or calibration process</w:t>
      </w:r>
      <w:r w:rsidR="007A5B14">
        <w:rPr>
          <w:rFonts w:asciiTheme="majorHAnsi" w:hAnsiTheme="majorHAnsi"/>
          <w:sz w:val="20"/>
          <w:szCs w:val="22"/>
        </w:rPr>
        <w:t>,</w:t>
      </w:r>
      <w:r w:rsidR="007A5B14" w:rsidRPr="009457C5">
        <w:rPr>
          <w:rFonts w:asciiTheme="majorHAnsi" w:hAnsiTheme="majorHAnsi"/>
          <w:sz w:val="20"/>
          <w:szCs w:val="22"/>
        </w:rPr>
        <w:t xml:space="preserve"> but not reported to the customer.</w:t>
      </w:r>
    </w:p>
    <w:p w14:paraId="08888B90" w14:textId="482834F3" w:rsidR="00537F01" w:rsidRPr="00827F98" w:rsidRDefault="00486269" w:rsidP="009A3B1E">
      <w:pPr>
        <w:pStyle w:val="BodyText"/>
        <w:widowControl/>
        <w:numPr>
          <w:ilvl w:val="2"/>
          <w:numId w:val="5"/>
        </w:numPr>
        <w:tabs>
          <w:tab w:val="left" w:pos="720"/>
          <w:tab w:val="left" w:pos="1881"/>
        </w:tabs>
        <w:spacing w:after="240"/>
        <w:ind w:left="0" w:firstLine="0"/>
        <w:jc w:val="both"/>
        <w:rPr>
          <w:rFonts w:asciiTheme="majorHAnsi" w:hAnsiTheme="majorHAnsi"/>
          <w:sz w:val="22"/>
          <w:szCs w:val="22"/>
        </w:rPr>
      </w:pPr>
      <w:r>
        <w:rPr>
          <w:rFonts w:asciiTheme="majorHAnsi" w:hAnsiTheme="majorHAnsi"/>
          <w:sz w:val="22"/>
          <w:szCs w:val="22"/>
        </w:rPr>
        <w:t>M</w:t>
      </w:r>
      <w:r w:rsidRPr="00827F98">
        <w:rPr>
          <w:rFonts w:asciiTheme="majorHAnsi" w:hAnsiTheme="majorHAnsi"/>
          <w:sz w:val="22"/>
          <w:szCs w:val="22"/>
        </w:rPr>
        <w:t xml:space="preserve">easurement </w:t>
      </w:r>
      <w:r w:rsidR="00334E61" w:rsidRPr="00827F98">
        <w:rPr>
          <w:rFonts w:asciiTheme="majorHAnsi" w:hAnsiTheme="majorHAnsi"/>
          <w:sz w:val="22"/>
          <w:szCs w:val="22"/>
        </w:rPr>
        <w:t>traceability can be characterized by t</w:t>
      </w:r>
      <w:r w:rsidR="000A7332">
        <w:rPr>
          <w:rFonts w:asciiTheme="majorHAnsi" w:hAnsiTheme="majorHAnsi"/>
          <w:sz w:val="22"/>
          <w:szCs w:val="22"/>
        </w:rPr>
        <w:t>he following essential elements.</w:t>
      </w:r>
      <w:r w:rsidR="00890FC3">
        <w:rPr>
          <w:rStyle w:val="FootnoteReference"/>
          <w:rFonts w:asciiTheme="majorHAnsi" w:hAnsiTheme="majorHAnsi"/>
          <w:sz w:val="22"/>
          <w:szCs w:val="22"/>
        </w:rPr>
        <w:footnoteReference w:id="8"/>
      </w:r>
    </w:p>
    <w:p w14:paraId="795EC0DE" w14:textId="77777777" w:rsidR="00537F01" w:rsidRPr="00827F98" w:rsidRDefault="00334E61">
      <w:pPr>
        <w:pStyle w:val="BodyText"/>
        <w:widowControl/>
        <w:numPr>
          <w:ilvl w:val="3"/>
          <w:numId w:val="5"/>
        </w:numPr>
        <w:tabs>
          <w:tab w:val="left" w:pos="360"/>
          <w:tab w:val="left" w:pos="2601"/>
        </w:tabs>
        <w:spacing w:after="240"/>
        <w:ind w:left="360" w:hanging="360"/>
        <w:jc w:val="both"/>
        <w:rPr>
          <w:rFonts w:asciiTheme="majorHAnsi" w:hAnsiTheme="majorHAnsi"/>
          <w:sz w:val="22"/>
          <w:szCs w:val="22"/>
        </w:rPr>
      </w:pPr>
      <w:r w:rsidRPr="00827F98">
        <w:rPr>
          <w:rFonts w:asciiTheme="majorHAnsi" w:hAnsiTheme="majorHAnsi"/>
          <w:i/>
          <w:sz w:val="22"/>
          <w:szCs w:val="22"/>
        </w:rPr>
        <w:t>Unbroken Chain of Comparisons</w:t>
      </w:r>
      <w:r w:rsidRPr="00827F98">
        <w:rPr>
          <w:rFonts w:asciiTheme="majorHAnsi" w:hAnsiTheme="majorHAnsi"/>
          <w:b/>
          <w:sz w:val="22"/>
          <w:szCs w:val="22"/>
        </w:rPr>
        <w:t xml:space="preserve"> </w:t>
      </w:r>
      <w:r w:rsidR="000A7332">
        <w:rPr>
          <w:rFonts w:asciiTheme="majorHAnsi" w:hAnsiTheme="majorHAnsi"/>
          <w:sz w:val="22"/>
          <w:szCs w:val="22"/>
        </w:rPr>
        <w:t>–</w:t>
      </w:r>
      <w:r w:rsidRPr="00827F98">
        <w:rPr>
          <w:rFonts w:asciiTheme="majorHAnsi" w:hAnsiTheme="majorHAnsi"/>
          <w:sz w:val="22"/>
          <w:szCs w:val="22"/>
        </w:rPr>
        <w:t xml:space="preserve"> A</w:t>
      </w:r>
      <w:r w:rsidR="000A7332">
        <w:rPr>
          <w:rFonts w:asciiTheme="majorHAnsi" w:hAnsiTheme="majorHAnsi"/>
          <w:sz w:val="22"/>
          <w:szCs w:val="22"/>
        </w:rPr>
        <w:t xml:space="preserve"> </w:t>
      </w:r>
      <w:r w:rsidRPr="00827F98">
        <w:rPr>
          <w:rFonts w:asciiTheme="majorHAnsi" w:hAnsiTheme="majorHAnsi"/>
          <w:sz w:val="22"/>
          <w:szCs w:val="22"/>
        </w:rPr>
        <w:t>documented system of</w:t>
      </w:r>
      <w:r w:rsidRPr="00827F98">
        <w:rPr>
          <w:rFonts w:asciiTheme="majorHAnsi" w:hAnsiTheme="majorHAnsi"/>
          <w:w w:val="99"/>
          <w:sz w:val="22"/>
          <w:szCs w:val="22"/>
        </w:rPr>
        <w:t xml:space="preserve"> </w:t>
      </w:r>
      <w:r w:rsidRPr="00827F98">
        <w:rPr>
          <w:rFonts w:asciiTheme="majorHAnsi" w:hAnsiTheme="majorHAnsi"/>
          <w:sz w:val="22"/>
          <w:szCs w:val="22"/>
        </w:rPr>
        <w:t>comparisons with each step having the essential elements of</w:t>
      </w:r>
      <w:r w:rsidRPr="00827F98">
        <w:rPr>
          <w:rFonts w:asciiTheme="majorHAnsi" w:hAnsiTheme="majorHAnsi"/>
          <w:w w:val="99"/>
          <w:sz w:val="22"/>
          <w:szCs w:val="22"/>
        </w:rPr>
        <w:t xml:space="preserve"> </w:t>
      </w:r>
      <w:r w:rsidRPr="00827F98">
        <w:rPr>
          <w:rFonts w:asciiTheme="majorHAnsi" w:hAnsiTheme="majorHAnsi"/>
          <w:sz w:val="22"/>
          <w:szCs w:val="22"/>
        </w:rPr>
        <w:t>metrological traceability going back to a stated reference</w:t>
      </w:r>
      <w:r w:rsidRPr="00827F98">
        <w:rPr>
          <w:rFonts w:asciiTheme="majorHAnsi" w:hAnsiTheme="majorHAnsi"/>
          <w:w w:val="99"/>
          <w:sz w:val="22"/>
          <w:szCs w:val="22"/>
        </w:rPr>
        <w:t xml:space="preserve"> </w:t>
      </w:r>
      <w:r w:rsidRPr="00827F98">
        <w:rPr>
          <w:rFonts w:asciiTheme="majorHAnsi" w:hAnsiTheme="majorHAnsi"/>
          <w:sz w:val="22"/>
          <w:szCs w:val="22"/>
        </w:rPr>
        <w:t>acceptable to the parties, usually a nat</w:t>
      </w:r>
      <w:r w:rsidR="000A7332">
        <w:rPr>
          <w:rFonts w:asciiTheme="majorHAnsi" w:hAnsiTheme="majorHAnsi"/>
          <w:sz w:val="22"/>
          <w:szCs w:val="22"/>
        </w:rPr>
        <w:t>ional or international standard.</w:t>
      </w:r>
    </w:p>
    <w:p w14:paraId="4319EF46" w14:textId="77777777" w:rsidR="00537F01" w:rsidRPr="00827F98" w:rsidRDefault="00334E61">
      <w:pPr>
        <w:pStyle w:val="BodyText"/>
        <w:widowControl/>
        <w:numPr>
          <w:ilvl w:val="3"/>
          <w:numId w:val="5"/>
        </w:numPr>
        <w:tabs>
          <w:tab w:val="left" w:pos="360"/>
          <w:tab w:val="left" w:pos="2601"/>
        </w:tabs>
        <w:spacing w:after="240"/>
        <w:ind w:left="360" w:hanging="360"/>
        <w:jc w:val="both"/>
        <w:rPr>
          <w:rFonts w:asciiTheme="majorHAnsi" w:hAnsiTheme="majorHAnsi"/>
          <w:sz w:val="22"/>
          <w:szCs w:val="22"/>
        </w:rPr>
      </w:pPr>
      <w:r w:rsidRPr="00827F98">
        <w:rPr>
          <w:rFonts w:asciiTheme="majorHAnsi" w:hAnsiTheme="majorHAnsi" w:cs="Cambria"/>
          <w:bCs/>
          <w:i/>
          <w:sz w:val="22"/>
          <w:szCs w:val="22"/>
        </w:rPr>
        <w:t>Documented Measurement Uncertainty</w:t>
      </w:r>
      <w:r w:rsidRPr="00827F98">
        <w:rPr>
          <w:rFonts w:asciiTheme="majorHAnsi" w:hAnsiTheme="majorHAnsi" w:cs="Cambria"/>
          <w:b/>
          <w:bCs/>
          <w:sz w:val="22"/>
          <w:szCs w:val="22"/>
        </w:rPr>
        <w:t xml:space="preserve"> </w:t>
      </w:r>
      <w:r w:rsidRPr="00827F98">
        <w:rPr>
          <w:rFonts w:asciiTheme="majorHAnsi" w:hAnsiTheme="majorHAnsi" w:cs="Cambria"/>
          <w:sz w:val="22"/>
          <w:szCs w:val="22"/>
        </w:rPr>
        <w:t xml:space="preserve">– </w:t>
      </w:r>
      <w:r w:rsidRPr="00827F98">
        <w:rPr>
          <w:rFonts w:asciiTheme="majorHAnsi" w:hAnsiTheme="majorHAnsi"/>
          <w:sz w:val="22"/>
          <w:szCs w:val="22"/>
        </w:rPr>
        <w:t>The measurement uncertainty for each step in the traceability chain must be</w:t>
      </w:r>
      <w:r w:rsidRPr="00827F98">
        <w:rPr>
          <w:rFonts w:asciiTheme="majorHAnsi" w:hAnsiTheme="majorHAnsi"/>
          <w:w w:val="99"/>
          <w:sz w:val="22"/>
          <w:szCs w:val="22"/>
        </w:rPr>
        <w:t xml:space="preserve"> </w:t>
      </w:r>
      <w:r w:rsidRPr="00827F98">
        <w:rPr>
          <w:rFonts w:asciiTheme="majorHAnsi" w:hAnsiTheme="majorHAnsi"/>
          <w:sz w:val="22"/>
          <w:szCs w:val="22"/>
        </w:rPr>
        <w:t>calculated according to defined methods and must be stated so</w:t>
      </w:r>
      <w:r w:rsidRPr="00827F98">
        <w:rPr>
          <w:rFonts w:asciiTheme="majorHAnsi" w:hAnsiTheme="majorHAnsi"/>
          <w:w w:val="99"/>
          <w:sz w:val="22"/>
          <w:szCs w:val="22"/>
        </w:rPr>
        <w:t xml:space="preserve"> </w:t>
      </w:r>
      <w:r w:rsidRPr="00827F98">
        <w:rPr>
          <w:rFonts w:asciiTheme="majorHAnsi" w:hAnsiTheme="majorHAnsi"/>
          <w:sz w:val="22"/>
          <w:szCs w:val="22"/>
        </w:rPr>
        <w:t>that an overall uncertainty for the whole chain may be</w:t>
      </w:r>
      <w:r w:rsidRPr="00827F98">
        <w:rPr>
          <w:rFonts w:asciiTheme="majorHAnsi" w:hAnsiTheme="majorHAnsi"/>
          <w:w w:val="99"/>
          <w:sz w:val="22"/>
          <w:szCs w:val="22"/>
        </w:rPr>
        <w:t xml:space="preserve"> </w:t>
      </w:r>
      <w:r w:rsidR="000A7332">
        <w:rPr>
          <w:rFonts w:asciiTheme="majorHAnsi" w:hAnsiTheme="majorHAnsi"/>
          <w:sz w:val="22"/>
          <w:szCs w:val="22"/>
        </w:rPr>
        <w:t>calculated.</w:t>
      </w:r>
    </w:p>
    <w:p w14:paraId="54FD1630" w14:textId="3857C9B6" w:rsidR="00537F01" w:rsidRPr="00827F98" w:rsidRDefault="00334E61">
      <w:pPr>
        <w:pStyle w:val="BodyText"/>
        <w:widowControl/>
        <w:numPr>
          <w:ilvl w:val="3"/>
          <w:numId w:val="5"/>
        </w:numPr>
        <w:tabs>
          <w:tab w:val="left" w:pos="360"/>
          <w:tab w:val="left" w:pos="2601"/>
        </w:tabs>
        <w:spacing w:after="240"/>
        <w:ind w:left="360" w:hanging="360"/>
        <w:jc w:val="both"/>
        <w:rPr>
          <w:rFonts w:asciiTheme="majorHAnsi" w:hAnsiTheme="majorHAnsi"/>
          <w:sz w:val="22"/>
          <w:szCs w:val="22"/>
        </w:rPr>
      </w:pPr>
      <w:r w:rsidRPr="00827F98">
        <w:rPr>
          <w:rFonts w:asciiTheme="majorHAnsi" w:hAnsiTheme="majorHAnsi"/>
          <w:i/>
          <w:sz w:val="22"/>
          <w:szCs w:val="22"/>
        </w:rPr>
        <w:t>Documented Measurement Procedure</w:t>
      </w:r>
      <w:r w:rsidRPr="00827F98">
        <w:rPr>
          <w:rFonts w:asciiTheme="majorHAnsi" w:hAnsiTheme="majorHAnsi"/>
          <w:b/>
          <w:sz w:val="22"/>
          <w:szCs w:val="22"/>
        </w:rPr>
        <w:t xml:space="preserve"> </w:t>
      </w:r>
      <w:r w:rsidR="000A7332">
        <w:rPr>
          <w:rFonts w:asciiTheme="majorHAnsi" w:hAnsiTheme="majorHAnsi"/>
          <w:sz w:val="22"/>
          <w:szCs w:val="22"/>
        </w:rPr>
        <w:t>–</w:t>
      </w:r>
      <w:r w:rsidRPr="00827F98">
        <w:rPr>
          <w:rFonts w:asciiTheme="majorHAnsi" w:hAnsiTheme="majorHAnsi"/>
          <w:sz w:val="22"/>
          <w:szCs w:val="22"/>
        </w:rPr>
        <w:t xml:space="preserve"> Each</w:t>
      </w:r>
      <w:r w:rsidR="000A7332">
        <w:rPr>
          <w:rFonts w:asciiTheme="majorHAnsi" w:hAnsiTheme="majorHAnsi"/>
          <w:sz w:val="22"/>
          <w:szCs w:val="22"/>
        </w:rPr>
        <w:t xml:space="preserve"> </w:t>
      </w:r>
      <w:r w:rsidRPr="00827F98">
        <w:rPr>
          <w:rFonts w:asciiTheme="majorHAnsi" w:hAnsiTheme="majorHAnsi"/>
          <w:sz w:val="22"/>
          <w:szCs w:val="22"/>
        </w:rPr>
        <w:t>step in the</w:t>
      </w:r>
      <w:r w:rsidRPr="00827F98">
        <w:rPr>
          <w:rFonts w:asciiTheme="majorHAnsi" w:hAnsiTheme="majorHAnsi"/>
          <w:w w:val="99"/>
          <w:sz w:val="22"/>
          <w:szCs w:val="22"/>
        </w:rPr>
        <w:t xml:space="preserve"> </w:t>
      </w:r>
      <w:r w:rsidRPr="00827F98">
        <w:rPr>
          <w:rFonts w:asciiTheme="majorHAnsi" w:hAnsiTheme="majorHAnsi"/>
          <w:sz w:val="22"/>
          <w:szCs w:val="22"/>
        </w:rPr>
        <w:t>chain must be performed according to documented</w:t>
      </w:r>
      <w:r w:rsidR="00DB3F7D">
        <w:rPr>
          <w:rFonts w:asciiTheme="majorHAnsi" w:hAnsiTheme="majorHAnsi"/>
          <w:sz w:val="22"/>
          <w:szCs w:val="22"/>
        </w:rPr>
        <w:t>,</w:t>
      </w:r>
      <w:r w:rsidRPr="00827F98">
        <w:rPr>
          <w:rFonts w:asciiTheme="majorHAnsi" w:hAnsiTheme="majorHAnsi"/>
          <w:sz w:val="22"/>
          <w:szCs w:val="22"/>
        </w:rPr>
        <w:t xml:space="preserve"> </w:t>
      </w:r>
      <w:r w:rsidR="00DB3F7D" w:rsidRPr="00827F98">
        <w:rPr>
          <w:rFonts w:asciiTheme="majorHAnsi" w:hAnsiTheme="majorHAnsi"/>
          <w:sz w:val="22"/>
          <w:szCs w:val="22"/>
        </w:rPr>
        <w:t>generally</w:t>
      </w:r>
      <w:r w:rsidR="00DB3F7D">
        <w:rPr>
          <w:rFonts w:asciiTheme="majorHAnsi" w:hAnsiTheme="majorHAnsi"/>
          <w:sz w:val="22"/>
          <w:szCs w:val="22"/>
        </w:rPr>
        <w:t>-</w:t>
      </w:r>
      <w:r w:rsidRPr="00827F98">
        <w:rPr>
          <w:rFonts w:asciiTheme="majorHAnsi" w:hAnsiTheme="majorHAnsi"/>
          <w:sz w:val="22"/>
          <w:szCs w:val="22"/>
        </w:rPr>
        <w:t>accepted procedures and the results must be</w:t>
      </w:r>
      <w:r w:rsidRPr="00827F98">
        <w:rPr>
          <w:rFonts w:asciiTheme="majorHAnsi" w:hAnsiTheme="majorHAnsi"/>
          <w:w w:val="99"/>
          <w:sz w:val="22"/>
          <w:szCs w:val="22"/>
        </w:rPr>
        <w:t xml:space="preserve"> </w:t>
      </w:r>
      <w:r w:rsidR="000A7332">
        <w:rPr>
          <w:rFonts w:asciiTheme="majorHAnsi" w:hAnsiTheme="majorHAnsi"/>
          <w:sz w:val="22"/>
          <w:szCs w:val="22"/>
        </w:rPr>
        <w:t>documented.</w:t>
      </w:r>
    </w:p>
    <w:p w14:paraId="0C490D67" w14:textId="77777777" w:rsidR="00537F01" w:rsidRPr="00827F98" w:rsidRDefault="00334E61">
      <w:pPr>
        <w:pStyle w:val="BodyText"/>
        <w:widowControl/>
        <w:numPr>
          <w:ilvl w:val="3"/>
          <w:numId w:val="5"/>
        </w:numPr>
        <w:tabs>
          <w:tab w:val="left" w:pos="360"/>
          <w:tab w:val="left" w:pos="2601"/>
        </w:tabs>
        <w:spacing w:after="240"/>
        <w:ind w:left="360" w:hanging="360"/>
        <w:jc w:val="both"/>
        <w:rPr>
          <w:rFonts w:asciiTheme="majorHAnsi" w:hAnsiTheme="majorHAnsi"/>
          <w:sz w:val="22"/>
          <w:szCs w:val="22"/>
        </w:rPr>
      </w:pPr>
      <w:r w:rsidRPr="00827F98">
        <w:rPr>
          <w:rFonts w:asciiTheme="majorHAnsi" w:hAnsiTheme="majorHAnsi"/>
          <w:i/>
          <w:sz w:val="22"/>
          <w:szCs w:val="22"/>
        </w:rPr>
        <w:t>Technical Competence</w:t>
      </w:r>
      <w:r w:rsidRPr="00827F98">
        <w:rPr>
          <w:rFonts w:asciiTheme="majorHAnsi" w:hAnsiTheme="majorHAnsi"/>
          <w:b/>
          <w:sz w:val="22"/>
          <w:szCs w:val="22"/>
        </w:rPr>
        <w:t xml:space="preserve"> </w:t>
      </w:r>
      <w:r w:rsidR="000A7332">
        <w:rPr>
          <w:rFonts w:asciiTheme="majorHAnsi" w:hAnsiTheme="majorHAnsi"/>
          <w:sz w:val="22"/>
          <w:szCs w:val="22"/>
        </w:rPr>
        <w:t>–</w:t>
      </w:r>
      <w:r w:rsidRPr="00827F98">
        <w:rPr>
          <w:rFonts w:asciiTheme="majorHAnsi" w:hAnsiTheme="majorHAnsi"/>
          <w:sz w:val="22"/>
          <w:szCs w:val="22"/>
        </w:rPr>
        <w:t xml:space="preserve"> The</w:t>
      </w:r>
      <w:r w:rsidR="000A7332">
        <w:rPr>
          <w:rFonts w:asciiTheme="majorHAnsi" w:hAnsiTheme="majorHAnsi"/>
          <w:sz w:val="22"/>
          <w:szCs w:val="22"/>
        </w:rPr>
        <w:t xml:space="preserve"> </w:t>
      </w:r>
      <w:r w:rsidRPr="00827F98">
        <w:rPr>
          <w:rFonts w:asciiTheme="majorHAnsi" w:hAnsiTheme="majorHAnsi"/>
          <w:sz w:val="22"/>
          <w:szCs w:val="22"/>
        </w:rPr>
        <w:t>laboratories or bodies</w:t>
      </w:r>
      <w:r w:rsidRPr="00827F98">
        <w:rPr>
          <w:rFonts w:asciiTheme="majorHAnsi" w:hAnsiTheme="majorHAnsi"/>
          <w:w w:val="99"/>
          <w:sz w:val="22"/>
          <w:szCs w:val="22"/>
        </w:rPr>
        <w:t xml:space="preserve"> </w:t>
      </w:r>
      <w:r w:rsidRPr="00827F98">
        <w:rPr>
          <w:rFonts w:asciiTheme="majorHAnsi" w:hAnsiTheme="majorHAnsi"/>
          <w:sz w:val="22"/>
          <w:szCs w:val="22"/>
        </w:rPr>
        <w:t>performing one or more steps in the chain must maintain and</w:t>
      </w:r>
      <w:r w:rsidRPr="00827F98">
        <w:rPr>
          <w:rFonts w:asciiTheme="majorHAnsi" w:hAnsiTheme="majorHAnsi"/>
          <w:w w:val="99"/>
          <w:sz w:val="22"/>
          <w:szCs w:val="22"/>
        </w:rPr>
        <w:t xml:space="preserve"> </w:t>
      </w:r>
      <w:r w:rsidRPr="00827F98">
        <w:rPr>
          <w:rFonts w:asciiTheme="majorHAnsi" w:hAnsiTheme="majorHAnsi"/>
          <w:sz w:val="22"/>
          <w:szCs w:val="22"/>
        </w:rPr>
        <w:t>supply evidence of technical competence (e.g., by maintaining appropriate training records, participating in inter-laboratory</w:t>
      </w:r>
      <w:r w:rsidRPr="00827F98">
        <w:rPr>
          <w:rFonts w:asciiTheme="majorHAnsi" w:hAnsiTheme="majorHAnsi"/>
          <w:w w:val="99"/>
          <w:sz w:val="22"/>
          <w:szCs w:val="22"/>
        </w:rPr>
        <w:t xml:space="preserve"> </w:t>
      </w:r>
      <w:r w:rsidRPr="00827F98">
        <w:rPr>
          <w:rFonts w:asciiTheme="majorHAnsi" w:hAnsiTheme="majorHAnsi"/>
          <w:sz w:val="22"/>
          <w:szCs w:val="22"/>
        </w:rPr>
        <w:t>comparisons, and by demonstrating that they are accredited by</w:t>
      </w:r>
      <w:r w:rsidRPr="00827F98">
        <w:rPr>
          <w:rFonts w:asciiTheme="majorHAnsi" w:hAnsiTheme="majorHAnsi"/>
          <w:w w:val="99"/>
          <w:sz w:val="22"/>
          <w:szCs w:val="22"/>
        </w:rPr>
        <w:t xml:space="preserve"> </w:t>
      </w:r>
      <w:r w:rsidRPr="00827F98">
        <w:rPr>
          <w:rFonts w:asciiTheme="majorHAnsi" w:hAnsiTheme="majorHAnsi"/>
          <w:sz w:val="22"/>
          <w:szCs w:val="22"/>
        </w:rPr>
        <w:t>a</w:t>
      </w:r>
      <w:r w:rsidR="000A7332">
        <w:rPr>
          <w:rFonts w:asciiTheme="majorHAnsi" w:hAnsiTheme="majorHAnsi"/>
          <w:sz w:val="22"/>
          <w:szCs w:val="22"/>
        </w:rPr>
        <w:t xml:space="preserve"> recognized accreditation body).</w:t>
      </w:r>
    </w:p>
    <w:p w14:paraId="6993D35A" w14:textId="77777777" w:rsidR="00537F01" w:rsidRPr="00827F98" w:rsidRDefault="00334E61">
      <w:pPr>
        <w:pStyle w:val="BodyText"/>
        <w:widowControl/>
        <w:numPr>
          <w:ilvl w:val="3"/>
          <w:numId w:val="5"/>
        </w:numPr>
        <w:tabs>
          <w:tab w:val="left" w:pos="360"/>
          <w:tab w:val="left" w:pos="3001"/>
        </w:tabs>
        <w:spacing w:after="240"/>
        <w:ind w:left="360" w:hanging="360"/>
        <w:jc w:val="both"/>
        <w:rPr>
          <w:rFonts w:asciiTheme="majorHAnsi" w:hAnsiTheme="majorHAnsi"/>
          <w:sz w:val="22"/>
          <w:szCs w:val="22"/>
        </w:rPr>
      </w:pPr>
      <w:r w:rsidRPr="00827F98">
        <w:rPr>
          <w:rFonts w:asciiTheme="majorHAnsi" w:hAnsiTheme="majorHAnsi" w:cs="Cambria"/>
          <w:bCs/>
          <w:i/>
          <w:sz w:val="22"/>
          <w:szCs w:val="22"/>
        </w:rPr>
        <w:t>Realization of SI Units</w:t>
      </w:r>
      <w:r w:rsidRPr="00827F98">
        <w:rPr>
          <w:rFonts w:asciiTheme="majorHAnsi" w:hAnsiTheme="majorHAnsi" w:cs="Cambria"/>
          <w:b/>
          <w:bCs/>
          <w:sz w:val="22"/>
          <w:szCs w:val="22"/>
        </w:rPr>
        <w:t xml:space="preserve"> </w:t>
      </w:r>
      <w:r w:rsidRPr="00827F98">
        <w:rPr>
          <w:rFonts w:asciiTheme="majorHAnsi" w:hAnsiTheme="majorHAnsi" w:cs="Cambria"/>
          <w:sz w:val="22"/>
          <w:szCs w:val="22"/>
        </w:rPr>
        <w:t xml:space="preserve">– </w:t>
      </w:r>
      <w:r w:rsidRPr="00827F98">
        <w:rPr>
          <w:rFonts w:asciiTheme="majorHAnsi" w:hAnsiTheme="majorHAnsi"/>
          <w:sz w:val="22"/>
          <w:szCs w:val="22"/>
        </w:rPr>
        <w:t>The chain of comparisons must, where possible, end at the realization of the International System of Un</w:t>
      </w:r>
      <w:r w:rsidR="000A7332">
        <w:rPr>
          <w:rFonts w:asciiTheme="majorHAnsi" w:hAnsiTheme="majorHAnsi"/>
          <w:sz w:val="22"/>
          <w:szCs w:val="22"/>
        </w:rPr>
        <w:t>its (SI).</w:t>
      </w:r>
    </w:p>
    <w:p w14:paraId="6720009B" w14:textId="77777777" w:rsidR="00537F01" w:rsidRPr="00827F98" w:rsidRDefault="00334E61">
      <w:pPr>
        <w:widowControl/>
        <w:numPr>
          <w:ilvl w:val="3"/>
          <w:numId w:val="5"/>
        </w:numPr>
        <w:tabs>
          <w:tab w:val="left" w:pos="360"/>
          <w:tab w:val="left" w:pos="3001"/>
        </w:tabs>
        <w:spacing w:after="240"/>
        <w:ind w:left="360" w:hanging="360"/>
        <w:jc w:val="both"/>
        <w:rPr>
          <w:rFonts w:asciiTheme="majorHAnsi" w:eastAsia="Cambria" w:hAnsiTheme="majorHAnsi" w:cs="Cambria"/>
        </w:rPr>
      </w:pPr>
      <w:r w:rsidRPr="00827F98">
        <w:rPr>
          <w:rFonts w:asciiTheme="majorHAnsi" w:hAnsiTheme="majorHAnsi"/>
          <w:i/>
        </w:rPr>
        <w:t>Documented Calibration Intervals</w:t>
      </w:r>
      <w:r w:rsidRPr="00827F98">
        <w:rPr>
          <w:rFonts w:asciiTheme="majorHAnsi" w:hAnsiTheme="majorHAnsi"/>
          <w:b/>
        </w:rPr>
        <w:t xml:space="preserve"> </w:t>
      </w:r>
      <w:r w:rsidR="000A7332">
        <w:rPr>
          <w:rFonts w:asciiTheme="majorHAnsi" w:hAnsiTheme="majorHAnsi"/>
        </w:rPr>
        <w:t>–</w:t>
      </w:r>
      <w:r w:rsidRPr="00827F98">
        <w:rPr>
          <w:rFonts w:asciiTheme="majorHAnsi" w:hAnsiTheme="majorHAnsi"/>
        </w:rPr>
        <w:t xml:space="preserve"> Calibrations</w:t>
      </w:r>
      <w:r w:rsidR="000A7332">
        <w:rPr>
          <w:rFonts w:asciiTheme="majorHAnsi" w:hAnsiTheme="majorHAnsi"/>
        </w:rPr>
        <w:t xml:space="preserve"> </w:t>
      </w:r>
      <w:r w:rsidRPr="00827F98">
        <w:rPr>
          <w:rFonts w:asciiTheme="majorHAnsi" w:hAnsiTheme="majorHAnsi"/>
        </w:rPr>
        <w:t>must be</w:t>
      </w:r>
      <w:r w:rsidRPr="00827F98">
        <w:rPr>
          <w:rFonts w:asciiTheme="majorHAnsi" w:hAnsiTheme="majorHAnsi"/>
          <w:w w:val="99"/>
        </w:rPr>
        <w:t xml:space="preserve"> </w:t>
      </w:r>
      <w:r w:rsidRPr="00827F98">
        <w:rPr>
          <w:rFonts w:asciiTheme="majorHAnsi" w:hAnsiTheme="majorHAnsi"/>
        </w:rPr>
        <w:t>repeated at established and appropriate intervals to preserve</w:t>
      </w:r>
      <w:r w:rsidRPr="00827F98">
        <w:rPr>
          <w:rFonts w:asciiTheme="majorHAnsi" w:hAnsiTheme="majorHAnsi"/>
          <w:w w:val="99"/>
        </w:rPr>
        <w:t xml:space="preserve"> </w:t>
      </w:r>
      <w:r w:rsidRPr="00827F98">
        <w:rPr>
          <w:rFonts w:asciiTheme="majorHAnsi" w:hAnsiTheme="majorHAnsi"/>
        </w:rPr>
        <w:t>metrological traceability; and</w:t>
      </w:r>
    </w:p>
    <w:p w14:paraId="51C41D23" w14:textId="77777777" w:rsidR="00537F01" w:rsidRPr="00827F98" w:rsidRDefault="00334E61">
      <w:pPr>
        <w:pStyle w:val="BodyText"/>
        <w:widowControl/>
        <w:numPr>
          <w:ilvl w:val="3"/>
          <w:numId w:val="5"/>
        </w:numPr>
        <w:tabs>
          <w:tab w:val="left" w:pos="360"/>
          <w:tab w:val="left" w:pos="3001"/>
        </w:tabs>
        <w:spacing w:after="240"/>
        <w:ind w:left="360" w:hanging="360"/>
        <w:jc w:val="both"/>
        <w:rPr>
          <w:rFonts w:asciiTheme="majorHAnsi" w:hAnsiTheme="majorHAnsi"/>
          <w:sz w:val="22"/>
          <w:szCs w:val="22"/>
        </w:rPr>
      </w:pPr>
      <w:r w:rsidRPr="00827F98">
        <w:rPr>
          <w:rFonts w:asciiTheme="majorHAnsi" w:hAnsiTheme="majorHAnsi"/>
          <w:i/>
          <w:sz w:val="22"/>
          <w:szCs w:val="22"/>
        </w:rPr>
        <w:t>Measurement Assurance</w:t>
      </w:r>
      <w:r w:rsidRPr="00827F98">
        <w:rPr>
          <w:rFonts w:asciiTheme="majorHAnsi" w:hAnsiTheme="majorHAnsi"/>
          <w:b/>
          <w:sz w:val="22"/>
          <w:szCs w:val="22"/>
        </w:rPr>
        <w:t xml:space="preserve"> </w:t>
      </w:r>
      <w:r w:rsidR="000A7332">
        <w:rPr>
          <w:rFonts w:asciiTheme="majorHAnsi" w:hAnsiTheme="majorHAnsi"/>
          <w:sz w:val="22"/>
          <w:szCs w:val="22"/>
        </w:rPr>
        <w:t>–</w:t>
      </w:r>
      <w:r w:rsidRPr="00827F98">
        <w:rPr>
          <w:rFonts w:asciiTheme="majorHAnsi" w:hAnsiTheme="majorHAnsi"/>
          <w:sz w:val="22"/>
          <w:szCs w:val="22"/>
        </w:rPr>
        <w:t xml:space="preserve"> A</w:t>
      </w:r>
      <w:r w:rsidR="000A7332">
        <w:rPr>
          <w:rFonts w:asciiTheme="majorHAnsi" w:hAnsiTheme="majorHAnsi"/>
          <w:sz w:val="22"/>
          <w:szCs w:val="22"/>
        </w:rPr>
        <w:t xml:space="preserve"> </w:t>
      </w:r>
      <w:r w:rsidRPr="00827F98">
        <w:rPr>
          <w:rFonts w:asciiTheme="majorHAnsi" w:hAnsiTheme="majorHAnsi"/>
          <w:sz w:val="22"/>
          <w:szCs w:val="22"/>
        </w:rPr>
        <w:t>proper measurement assurance</w:t>
      </w:r>
      <w:r w:rsidRPr="00827F98">
        <w:rPr>
          <w:rFonts w:asciiTheme="majorHAnsi" w:hAnsiTheme="majorHAnsi"/>
          <w:w w:val="99"/>
          <w:sz w:val="22"/>
          <w:szCs w:val="22"/>
        </w:rPr>
        <w:t xml:space="preserve"> </w:t>
      </w:r>
      <w:r w:rsidRPr="00827F98">
        <w:rPr>
          <w:rFonts w:asciiTheme="majorHAnsi" w:hAnsiTheme="majorHAnsi"/>
          <w:sz w:val="22"/>
          <w:szCs w:val="22"/>
        </w:rPr>
        <w:t>program [however named] must be established to ensure the</w:t>
      </w:r>
      <w:r w:rsidRPr="00827F98">
        <w:rPr>
          <w:rFonts w:asciiTheme="majorHAnsi" w:hAnsiTheme="majorHAnsi"/>
          <w:w w:val="99"/>
          <w:sz w:val="22"/>
          <w:szCs w:val="22"/>
        </w:rPr>
        <w:t xml:space="preserve"> </w:t>
      </w:r>
      <w:r w:rsidRPr="00827F98">
        <w:rPr>
          <w:rFonts w:asciiTheme="majorHAnsi" w:hAnsiTheme="majorHAnsi"/>
          <w:sz w:val="22"/>
          <w:szCs w:val="22"/>
        </w:rPr>
        <w:t>validity of the measurement process and to ensure the</w:t>
      </w:r>
      <w:r w:rsidRPr="00827F98">
        <w:rPr>
          <w:rFonts w:asciiTheme="majorHAnsi" w:hAnsiTheme="majorHAnsi"/>
          <w:w w:val="99"/>
          <w:sz w:val="22"/>
          <w:szCs w:val="22"/>
        </w:rPr>
        <w:t xml:space="preserve"> </w:t>
      </w:r>
      <w:r w:rsidRPr="00827F98">
        <w:rPr>
          <w:rFonts w:asciiTheme="majorHAnsi" w:hAnsiTheme="majorHAnsi"/>
          <w:sz w:val="22"/>
          <w:szCs w:val="22"/>
        </w:rPr>
        <w:t>calibration status of equipment, reference standards and</w:t>
      </w:r>
      <w:r w:rsidRPr="00827F98">
        <w:rPr>
          <w:rFonts w:asciiTheme="majorHAnsi" w:hAnsiTheme="majorHAnsi"/>
          <w:w w:val="99"/>
          <w:sz w:val="22"/>
          <w:szCs w:val="22"/>
        </w:rPr>
        <w:t xml:space="preserve"> </w:t>
      </w:r>
      <w:r w:rsidRPr="00827F98">
        <w:rPr>
          <w:rFonts w:asciiTheme="majorHAnsi" w:hAnsiTheme="majorHAnsi"/>
          <w:sz w:val="22"/>
          <w:szCs w:val="22"/>
        </w:rPr>
        <w:t>reference materials.</w:t>
      </w:r>
    </w:p>
    <w:p w14:paraId="6B9EB7F5" w14:textId="77777777" w:rsidR="00537F01" w:rsidRPr="00827F98" w:rsidRDefault="00334E61" w:rsidP="009A3B1E">
      <w:pPr>
        <w:widowControl/>
        <w:numPr>
          <w:ilvl w:val="1"/>
          <w:numId w:val="4"/>
        </w:numPr>
        <w:tabs>
          <w:tab w:val="left" w:pos="540"/>
        </w:tabs>
        <w:spacing w:after="240"/>
        <w:ind w:left="0" w:firstLine="0"/>
        <w:jc w:val="both"/>
        <w:rPr>
          <w:rFonts w:asciiTheme="majorHAnsi" w:eastAsia="Cambria" w:hAnsiTheme="majorHAnsi" w:cs="Cambria"/>
        </w:rPr>
      </w:pPr>
      <w:r w:rsidRPr="00827F98">
        <w:rPr>
          <w:rFonts w:asciiTheme="majorHAnsi" w:hAnsiTheme="majorHAnsi"/>
          <w:b/>
        </w:rPr>
        <w:t>Requirements for Measurement Traceability</w:t>
      </w:r>
    </w:p>
    <w:p w14:paraId="43040F97" w14:textId="77777777" w:rsidR="00141BAA" w:rsidRPr="00827F98" w:rsidRDefault="00141BAA">
      <w:pPr>
        <w:pStyle w:val="BodyText"/>
        <w:widowControl/>
        <w:tabs>
          <w:tab w:val="left" w:pos="360"/>
        </w:tabs>
        <w:spacing w:after="240"/>
        <w:ind w:left="0"/>
        <w:jc w:val="both"/>
        <w:rPr>
          <w:rFonts w:asciiTheme="majorHAnsi" w:hAnsiTheme="majorHAnsi"/>
          <w:b/>
          <w:sz w:val="22"/>
          <w:szCs w:val="22"/>
        </w:rPr>
      </w:pPr>
      <w:r w:rsidRPr="00827F98">
        <w:rPr>
          <w:rFonts w:asciiTheme="majorHAnsi" w:hAnsiTheme="majorHAnsi"/>
          <w:b/>
          <w:sz w:val="22"/>
          <w:szCs w:val="22"/>
        </w:rPr>
        <w:t>4.2.1</w:t>
      </w:r>
      <w:r w:rsidRPr="00827F98">
        <w:rPr>
          <w:rFonts w:asciiTheme="majorHAnsi" w:hAnsiTheme="majorHAnsi"/>
          <w:b/>
          <w:sz w:val="22"/>
          <w:szCs w:val="22"/>
        </w:rPr>
        <w:tab/>
        <w:t>General</w:t>
      </w:r>
    </w:p>
    <w:p w14:paraId="0DD6E8C1" w14:textId="77777777" w:rsidR="00537F01" w:rsidRPr="00827F98" w:rsidRDefault="00334E61">
      <w:pPr>
        <w:pStyle w:val="BodyText"/>
        <w:widowControl/>
        <w:tabs>
          <w:tab w:val="left" w:pos="360"/>
        </w:tabs>
        <w:spacing w:after="240"/>
        <w:ind w:left="0"/>
        <w:jc w:val="both"/>
        <w:rPr>
          <w:rFonts w:asciiTheme="majorHAnsi" w:hAnsiTheme="majorHAnsi"/>
          <w:sz w:val="22"/>
          <w:szCs w:val="22"/>
        </w:rPr>
      </w:pPr>
      <w:r w:rsidRPr="00827F98">
        <w:rPr>
          <w:rFonts w:asciiTheme="majorHAnsi" w:hAnsiTheme="majorHAnsi"/>
          <w:sz w:val="22"/>
          <w:szCs w:val="22"/>
        </w:rPr>
        <w:t>Forensic science service providers establish traceability of a measurement process by making one or more measurements using equipment that has</w:t>
      </w:r>
      <w:r w:rsidRPr="00827F98">
        <w:rPr>
          <w:rFonts w:asciiTheme="majorHAnsi" w:hAnsiTheme="majorHAnsi"/>
          <w:w w:val="99"/>
          <w:sz w:val="22"/>
          <w:szCs w:val="22"/>
        </w:rPr>
        <w:t xml:space="preserve"> </w:t>
      </w:r>
      <w:r w:rsidRPr="00827F98">
        <w:rPr>
          <w:rFonts w:asciiTheme="majorHAnsi" w:hAnsiTheme="majorHAnsi"/>
          <w:sz w:val="22"/>
          <w:szCs w:val="22"/>
        </w:rPr>
        <w:t xml:space="preserve">been calibrated with established metrological traceability and/or </w:t>
      </w:r>
      <w:proofErr w:type="gramStart"/>
      <w:r w:rsidRPr="00827F98">
        <w:rPr>
          <w:rFonts w:asciiTheme="majorHAnsi" w:hAnsiTheme="majorHAnsi"/>
          <w:sz w:val="22"/>
          <w:szCs w:val="22"/>
        </w:rPr>
        <w:t>through</w:t>
      </w:r>
      <w:r w:rsidRPr="00827F98">
        <w:rPr>
          <w:rFonts w:asciiTheme="majorHAnsi" w:hAnsiTheme="majorHAnsi"/>
          <w:w w:val="99"/>
          <w:sz w:val="22"/>
          <w:szCs w:val="22"/>
        </w:rPr>
        <w:t xml:space="preserve"> </w:t>
      </w:r>
      <w:r w:rsidRPr="00827F98">
        <w:rPr>
          <w:rFonts w:asciiTheme="majorHAnsi" w:hAnsiTheme="majorHAnsi"/>
          <w:sz w:val="22"/>
          <w:szCs w:val="22"/>
        </w:rPr>
        <w:t>the use of</w:t>
      </w:r>
      <w:proofErr w:type="gramEnd"/>
      <w:r w:rsidRPr="00827F98">
        <w:rPr>
          <w:rFonts w:asciiTheme="majorHAnsi" w:hAnsiTheme="majorHAnsi"/>
          <w:sz w:val="22"/>
          <w:szCs w:val="22"/>
        </w:rPr>
        <w:t xml:space="preserve"> certified reference materials in the test or calibration method.</w:t>
      </w:r>
    </w:p>
    <w:p w14:paraId="08ABDFE0" w14:textId="77777777" w:rsidR="003577BB" w:rsidRPr="00827F98" w:rsidRDefault="003577BB">
      <w:pPr>
        <w:pStyle w:val="BodyText"/>
        <w:widowControl/>
        <w:tabs>
          <w:tab w:val="left" w:pos="360"/>
        </w:tabs>
        <w:spacing w:after="240"/>
        <w:ind w:left="0"/>
        <w:jc w:val="both"/>
        <w:rPr>
          <w:rFonts w:asciiTheme="majorHAnsi" w:hAnsiTheme="majorHAnsi"/>
          <w:sz w:val="22"/>
          <w:szCs w:val="22"/>
        </w:rPr>
      </w:pPr>
      <w:r w:rsidRPr="000E0C71">
        <w:rPr>
          <w:rFonts w:asciiTheme="majorHAnsi" w:hAnsiTheme="majorHAnsi"/>
          <w:sz w:val="22"/>
          <w:szCs w:val="22"/>
        </w:rPr>
        <w:t xml:space="preserve">For equipment and certified reference materials used to establish and maintain measurement traceability, proper handling and storage </w:t>
      </w:r>
      <w:r w:rsidR="00371942" w:rsidRPr="000E0C71">
        <w:rPr>
          <w:rFonts w:asciiTheme="majorHAnsi" w:hAnsiTheme="majorHAnsi"/>
          <w:sz w:val="22"/>
          <w:szCs w:val="22"/>
        </w:rPr>
        <w:t xml:space="preserve">procedures </w:t>
      </w:r>
      <w:r w:rsidRPr="000E0C71">
        <w:rPr>
          <w:rFonts w:asciiTheme="majorHAnsi" w:hAnsiTheme="majorHAnsi"/>
          <w:sz w:val="22"/>
          <w:szCs w:val="22"/>
        </w:rPr>
        <w:t xml:space="preserve">which </w:t>
      </w:r>
      <w:r w:rsidR="00371942" w:rsidRPr="000E0C71">
        <w:rPr>
          <w:rFonts w:asciiTheme="majorHAnsi" w:hAnsiTheme="majorHAnsi"/>
          <w:sz w:val="22"/>
          <w:szCs w:val="22"/>
        </w:rPr>
        <w:t>meet or exceed</w:t>
      </w:r>
      <w:r w:rsidRPr="000E0C71">
        <w:rPr>
          <w:rFonts w:asciiTheme="majorHAnsi" w:hAnsiTheme="majorHAnsi"/>
          <w:sz w:val="22"/>
          <w:szCs w:val="22"/>
        </w:rPr>
        <w:t xml:space="preserve"> manufacturer’s recommendations must be </w:t>
      </w:r>
      <w:r w:rsidR="00371942" w:rsidRPr="000E0C71">
        <w:rPr>
          <w:rFonts w:asciiTheme="majorHAnsi" w:hAnsiTheme="majorHAnsi"/>
          <w:sz w:val="22"/>
          <w:szCs w:val="22"/>
        </w:rPr>
        <w:t>followed</w:t>
      </w:r>
      <w:r w:rsidRPr="000E0C71">
        <w:rPr>
          <w:rFonts w:asciiTheme="majorHAnsi" w:hAnsiTheme="majorHAnsi"/>
          <w:sz w:val="22"/>
          <w:szCs w:val="22"/>
        </w:rPr>
        <w:t>.</w:t>
      </w:r>
    </w:p>
    <w:p w14:paraId="44B84AD9" w14:textId="77777777" w:rsidR="00537F01" w:rsidRPr="00827F98" w:rsidRDefault="00334E61" w:rsidP="009A3B1E">
      <w:pPr>
        <w:pStyle w:val="BodyText"/>
        <w:widowControl/>
        <w:numPr>
          <w:ilvl w:val="2"/>
          <w:numId w:val="9"/>
        </w:numPr>
        <w:tabs>
          <w:tab w:val="left" w:pos="720"/>
        </w:tabs>
        <w:spacing w:after="240"/>
        <w:ind w:left="0" w:firstLine="0"/>
        <w:jc w:val="both"/>
        <w:rPr>
          <w:rFonts w:asciiTheme="majorHAnsi" w:hAnsiTheme="majorHAnsi"/>
          <w:b/>
          <w:sz w:val="22"/>
          <w:szCs w:val="22"/>
        </w:rPr>
      </w:pPr>
      <w:r w:rsidRPr="00827F98">
        <w:rPr>
          <w:rFonts w:asciiTheme="majorHAnsi" w:hAnsiTheme="majorHAnsi"/>
          <w:b/>
          <w:sz w:val="22"/>
          <w:szCs w:val="22"/>
        </w:rPr>
        <w:lastRenderedPageBreak/>
        <w:t>Calibration Service Provider</w:t>
      </w:r>
    </w:p>
    <w:p w14:paraId="6D1C42B1" w14:textId="4ED9B37A" w:rsidR="00537F01" w:rsidRPr="00827F98" w:rsidRDefault="00334E61">
      <w:pPr>
        <w:pStyle w:val="BodyText"/>
        <w:widowControl/>
        <w:tabs>
          <w:tab w:val="left" w:pos="360"/>
        </w:tabs>
        <w:spacing w:after="240"/>
        <w:ind w:left="0"/>
        <w:jc w:val="both"/>
        <w:rPr>
          <w:rFonts w:asciiTheme="majorHAnsi" w:hAnsiTheme="majorHAnsi"/>
          <w:sz w:val="22"/>
          <w:szCs w:val="22"/>
        </w:rPr>
      </w:pPr>
      <w:r w:rsidRPr="00827F98">
        <w:rPr>
          <w:rFonts w:asciiTheme="majorHAnsi" w:hAnsiTheme="majorHAnsi"/>
          <w:sz w:val="22"/>
          <w:szCs w:val="22"/>
        </w:rPr>
        <w:t>If traceability of a measurement will be established</w:t>
      </w:r>
      <w:r w:rsidR="002031A4">
        <w:rPr>
          <w:rFonts w:asciiTheme="majorHAnsi" w:hAnsiTheme="majorHAnsi"/>
          <w:sz w:val="22"/>
          <w:szCs w:val="22"/>
        </w:rPr>
        <w:t xml:space="preserve"> </w:t>
      </w:r>
      <w:r w:rsidRPr="00827F98">
        <w:rPr>
          <w:rFonts w:asciiTheme="majorHAnsi" w:hAnsiTheme="majorHAnsi"/>
          <w:sz w:val="22"/>
          <w:szCs w:val="22"/>
        </w:rPr>
        <w:t>through the calibration of equipment used to make the</w:t>
      </w:r>
      <w:r w:rsidRPr="00827F98">
        <w:rPr>
          <w:rFonts w:asciiTheme="majorHAnsi" w:hAnsiTheme="majorHAnsi"/>
          <w:w w:val="99"/>
          <w:sz w:val="22"/>
          <w:szCs w:val="22"/>
        </w:rPr>
        <w:t xml:space="preserve"> </w:t>
      </w:r>
      <w:r w:rsidRPr="00827F98">
        <w:rPr>
          <w:rFonts w:asciiTheme="majorHAnsi" w:hAnsiTheme="majorHAnsi"/>
          <w:sz w:val="22"/>
          <w:szCs w:val="22"/>
        </w:rPr>
        <w:t xml:space="preserve">measurement, then this calibration </w:t>
      </w:r>
      <w:r w:rsidR="004F43F4">
        <w:rPr>
          <w:rFonts w:asciiTheme="majorHAnsi" w:hAnsiTheme="majorHAnsi"/>
          <w:sz w:val="22"/>
          <w:szCs w:val="22"/>
        </w:rPr>
        <w:t>shall</w:t>
      </w:r>
      <w:r w:rsidR="004F43F4" w:rsidRPr="00827F98">
        <w:rPr>
          <w:rFonts w:asciiTheme="majorHAnsi" w:hAnsiTheme="majorHAnsi"/>
          <w:sz w:val="22"/>
          <w:szCs w:val="22"/>
        </w:rPr>
        <w:t xml:space="preserve"> </w:t>
      </w:r>
      <w:r w:rsidRPr="00827F98">
        <w:rPr>
          <w:rFonts w:asciiTheme="majorHAnsi" w:hAnsiTheme="majorHAnsi"/>
          <w:sz w:val="22"/>
          <w:szCs w:val="22"/>
        </w:rPr>
        <w:t>be performed by an appropriately accredited calibration service supplier that, if available, is either:</w:t>
      </w:r>
    </w:p>
    <w:p w14:paraId="703774A9" w14:textId="77777777" w:rsidR="00537F01" w:rsidRPr="00827F98" w:rsidRDefault="00334E61">
      <w:pPr>
        <w:pStyle w:val="BodyText"/>
        <w:widowControl/>
        <w:numPr>
          <w:ilvl w:val="3"/>
          <w:numId w:val="4"/>
        </w:numPr>
        <w:tabs>
          <w:tab w:val="left" w:pos="360"/>
          <w:tab w:val="left" w:pos="3001"/>
        </w:tabs>
        <w:spacing w:after="240"/>
        <w:ind w:left="360" w:hanging="360"/>
        <w:jc w:val="both"/>
        <w:rPr>
          <w:rFonts w:asciiTheme="majorHAnsi" w:hAnsiTheme="majorHAnsi"/>
          <w:sz w:val="22"/>
          <w:szCs w:val="22"/>
        </w:rPr>
      </w:pPr>
      <w:r w:rsidRPr="00827F98">
        <w:rPr>
          <w:rFonts w:asciiTheme="majorHAnsi" w:hAnsiTheme="majorHAnsi"/>
          <w:sz w:val="22"/>
          <w:szCs w:val="22"/>
        </w:rPr>
        <w:t>a National Metrology Institute (NMI) that is a signatory to the</w:t>
      </w:r>
      <w:r w:rsidRPr="00827F98">
        <w:rPr>
          <w:rFonts w:asciiTheme="majorHAnsi" w:hAnsiTheme="majorHAnsi"/>
          <w:w w:val="99"/>
          <w:sz w:val="22"/>
          <w:szCs w:val="22"/>
        </w:rPr>
        <w:t xml:space="preserve"> </w:t>
      </w:r>
      <w:r w:rsidRPr="00827F98">
        <w:rPr>
          <w:rFonts w:asciiTheme="majorHAnsi" w:hAnsiTheme="majorHAnsi"/>
          <w:sz w:val="22"/>
          <w:szCs w:val="22"/>
        </w:rPr>
        <w:t xml:space="preserve">BIPM - </w:t>
      </w:r>
      <w:r w:rsidRPr="005C2C8F">
        <w:rPr>
          <w:rFonts w:asciiTheme="majorHAnsi" w:hAnsiTheme="majorHAnsi"/>
          <w:sz w:val="22"/>
          <w:szCs w:val="22"/>
        </w:rPr>
        <w:t xml:space="preserve">CIPM </w:t>
      </w:r>
      <w:r w:rsidRPr="00682EFA">
        <w:rPr>
          <w:rFonts w:asciiTheme="majorHAnsi" w:hAnsiTheme="majorHAnsi"/>
          <w:i/>
          <w:sz w:val="22"/>
          <w:szCs w:val="22"/>
        </w:rPr>
        <w:t>Mutual Recognition Arrangement</w:t>
      </w:r>
      <w:r w:rsidRPr="00827F98">
        <w:rPr>
          <w:rFonts w:asciiTheme="majorHAnsi" w:hAnsiTheme="majorHAnsi"/>
          <w:sz w:val="22"/>
          <w:szCs w:val="22"/>
        </w:rPr>
        <w:t>, with the</w:t>
      </w:r>
      <w:r w:rsidRPr="00827F98">
        <w:rPr>
          <w:rFonts w:asciiTheme="majorHAnsi" w:hAnsiTheme="majorHAnsi"/>
          <w:w w:val="99"/>
          <w:sz w:val="22"/>
          <w:szCs w:val="22"/>
        </w:rPr>
        <w:t xml:space="preserve"> </w:t>
      </w:r>
      <w:r w:rsidRPr="00827F98">
        <w:rPr>
          <w:rFonts w:asciiTheme="majorHAnsi" w:hAnsiTheme="majorHAnsi"/>
          <w:sz w:val="22"/>
          <w:szCs w:val="22"/>
        </w:rPr>
        <w:t>calibration to be performed li</w:t>
      </w:r>
      <w:r w:rsidR="005C2C8F">
        <w:rPr>
          <w:rFonts w:asciiTheme="majorHAnsi" w:hAnsiTheme="majorHAnsi"/>
          <w:sz w:val="22"/>
          <w:szCs w:val="22"/>
        </w:rPr>
        <w:t xml:space="preserve">sted in Appendix C of the BIPM </w:t>
      </w:r>
      <w:r w:rsidR="005C2C8F" w:rsidRPr="005C2C8F">
        <w:rPr>
          <w:rFonts w:asciiTheme="majorHAnsi" w:hAnsiTheme="majorHAnsi"/>
          <w:i/>
          <w:sz w:val="22"/>
          <w:szCs w:val="22"/>
        </w:rPr>
        <w:t>Key Comparison D</w:t>
      </w:r>
      <w:r w:rsidRPr="005C2C8F">
        <w:rPr>
          <w:rFonts w:asciiTheme="majorHAnsi" w:hAnsiTheme="majorHAnsi"/>
          <w:i/>
          <w:sz w:val="22"/>
          <w:szCs w:val="22"/>
        </w:rPr>
        <w:t>atabase</w:t>
      </w:r>
      <w:r w:rsidRPr="00827F98">
        <w:rPr>
          <w:rFonts w:asciiTheme="majorHAnsi" w:hAnsiTheme="majorHAnsi"/>
          <w:sz w:val="22"/>
          <w:szCs w:val="22"/>
        </w:rPr>
        <w:t xml:space="preserve"> </w:t>
      </w:r>
      <w:r w:rsidR="00141BAA" w:rsidRPr="00827F98">
        <w:rPr>
          <w:rFonts w:asciiTheme="majorHAnsi" w:hAnsiTheme="majorHAnsi"/>
          <w:sz w:val="22"/>
          <w:szCs w:val="22"/>
        </w:rPr>
        <w:t>(KCDB)</w:t>
      </w:r>
      <w:r w:rsidRPr="00827F98">
        <w:rPr>
          <w:rFonts w:asciiTheme="majorHAnsi" w:hAnsiTheme="majorHAnsi"/>
          <w:sz w:val="22"/>
          <w:szCs w:val="22"/>
        </w:rPr>
        <w:t>; or</w:t>
      </w:r>
    </w:p>
    <w:p w14:paraId="1A837B0C" w14:textId="77777777" w:rsidR="00537F01" w:rsidRPr="00827F98" w:rsidRDefault="00334E61">
      <w:pPr>
        <w:pStyle w:val="BodyText"/>
        <w:widowControl/>
        <w:numPr>
          <w:ilvl w:val="3"/>
          <w:numId w:val="4"/>
        </w:numPr>
        <w:tabs>
          <w:tab w:val="left" w:pos="360"/>
          <w:tab w:val="left" w:pos="2601"/>
        </w:tabs>
        <w:spacing w:after="240"/>
        <w:ind w:left="360" w:hanging="360"/>
        <w:jc w:val="both"/>
        <w:rPr>
          <w:rFonts w:asciiTheme="majorHAnsi" w:hAnsiTheme="majorHAnsi"/>
          <w:sz w:val="22"/>
          <w:szCs w:val="22"/>
        </w:rPr>
      </w:pPr>
      <w:r w:rsidRPr="00827F98">
        <w:rPr>
          <w:rFonts w:asciiTheme="majorHAnsi" w:hAnsiTheme="majorHAnsi"/>
          <w:sz w:val="22"/>
          <w:szCs w:val="22"/>
        </w:rPr>
        <w:t>a service supplier accredited to ISO/IEC 17025:2005 by an accrediting body that is a signatory to the International Laboratory Accreditation Cooperation (ILAC</w:t>
      </w:r>
      <w:r w:rsidRPr="005C2C8F">
        <w:rPr>
          <w:rFonts w:asciiTheme="majorHAnsi" w:hAnsiTheme="majorHAnsi"/>
          <w:sz w:val="22"/>
          <w:szCs w:val="22"/>
        </w:rPr>
        <w:t xml:space="preserve">) </w:t>
      </w:r>
      <w:r w:rsidRPr="005C2C8F">
        <w:rPr>
          <w:rFonts w:asciiTheme="majorHAnsi" w:hAnsiTheme="majorHAnsi"/>
          <w:i/>
          <w:sz w:val="22"/>
          <w:szCs w:val="22"/>
        </w:rPr>
        <w:t>Mutual Recognition Arrangement</w:t>
      </w:r>
      <w:r w:rsidRPr="005C2C8F">
        <w:rPr>
          <w:rFonts w:asciiTheme="majorHAnsi" w:hAnsiTheme="majorHAnsi"/>
          <w:sz w:val="22"/>
          <w:szCs w:val="22"/>
        </w:rPr>
        <w:t xml:space="preserve">, </w:t>
      </w:r>
      <w:r w:rsidRPr="00827F98">
        <w:rPr>
          <w:rFonts w:asciiTheme="majorHAnsi" w:hAnsiTheme="majorHAnsi"/>
          <w:sz w:val="22"/>
          <w:szCs w:val="22"/>
        </w:rPr>
        <w:t>with the calibration to be performed</w:t>
      </w:r>
      <w:r w:rsidRPr="00827F98">
        <w:rPr>
          <w:rFonts w:asciiTheme="majorHAnsi" w:hAnsiTheme="majorHAnsi"/>
          <w:w w:val="99"/>
          <w:sz w:val="22"/>
          <w:szCs w:val="22"/>
        </w:rPr>
        <w:t xml:space="preserve"> </w:t>
      </w:r>
      <w:r w:rsidRPr="00827F98">
        <w:rPr>
          <w:rFonts w:asciiTheme="majorHAnsi" w:hAnsiTheme="majorHAnsi"/>
          <w:sz w:val="22"/>
          <w:szCs w:val="22"/>
        </w:rPr>
        <w:t>listed in a scope of accreditation.</w:t>
      </w:r>
    </w:p>
    <w:p w14:paraId="41143461" w14:textId="55D4C7EF" w:rsidR="00537F01" w:rsidRPr="00827F98" w:rsidRDefault="00334E61">
      <w:pPr>
        <w:pStyle w:val="BodyText"/>
        <w:widowControl/>
        <w:tabs>
          <w:tab w:val="left" w:pos="360"/>
        </w:tabs>
        <w:spacing w:after="240"/>
        <w:ind w:left="0"/>
        <w:jc w:val="both"/>
        <w:rPr>
          <w:rFonts w:asciiTheme="majorHAnsi" w:hAnsiTheme="majorHAnsi"/>
          <w:sz w:val="22"/>
          <w:szCs w:val="22"/>
        </w:rPr>
      </w:pPr>
      <w:r w:rsidRPr="00827F98">
        <w:rPr>
          <w:rFonts w:asciiTheme="majorHAnsi" w:hAnsiTheme="majorHAnsi"/>
          <w:sz w:val="22"/>
          <w:szCs w:val="22"/>
        </w:rPr>
        <w:t xml:space="preserve">If an appropriately accredited calibration service supplier is not available </w:t>
      </w:r>
      <w:r w:rsidR="000A64EE">
        <w:rPr>
          <w:rFonts w:asciiTheme="majorHAnsi" w:hAnsiTheme="majorHAnsi"/>
          <w:sz w:val="22"/>
          <w:szCs w:val="22"/>
        </w:rPr>
        <w:t>(as defined above)</w:t>
      </w:r>
      <w:r w:rsidRPr="00827F98">
        <w:rPr>
          <w:rFonts w:asciiTheme="majorHAnsi" w:hAnsiTheme="majorHAnsi"/>
          <w:sz w:val="22"/>
          <w:szCs w:val="22"/>
        </w:rPr>
        <w:t>, then the forensic science</w:t>
      </w:r>
      <w:r w:rsidRPr="00827F98">
        <w:rPr>
          <w:rFonts w:asciiTheme="majorHAnsi" w:hAnsiTheme="majorHAnsi"/>
          <w:w w:val="99"/>
          <w:sz w:val="22"/>
          <w:szCs w:val="22"/>
        </w:rPr>
        <w:t xml:space="preserve"> </w:t>
      </w:r>
      <w:r w:rsidRPr="00827F98">
        <w:rPr>
          <w:rFonts w:asciiTheme="majorHAnsi" w:hAnsiTheme="majorHAnsi"/>
          <w:sz w:val="22"/>
          <w:szCs w:val="22"/>
        </w:rPr>
        <w:t xml:space="preserve">service provider </w:t>
      </w:r>
      <w:r w:rsidR="004F43F4">
        <w:rPr>
          <w:rFonts w:asciiTheme="majorHAnsi" w:hAnsiTheme="majorHAnsi"/>
          <w:sz w:val="22"/>
          <w:szCs w:val="22"/>
        </w:rPr>
        <w:t>shall</w:t>
      </w:r>
      <w:r w:rsidRPr="00827F98">
        <w:rPr>
          <w:rFonts w:asciiTheme="majorHAnsi" w:hAnsiTheme="majorHAnsi"/>
          <w:sz w:val="22"/>
          <w:szCs w:val="22"/>
        </w:rPr>
        <w:t xml:space="preserve"> perform </w:t>
      </w:r>
      <w:r w:rsidR="000A64EE">
        <w:rPr>
          <w:rFonts w:asciiTheme="majorHAnsi" w:hAnsiTheme="majorHAnsi"/>
          <w:sz w:val="22"/>
          <w:szCs w:val="22"/>
        </w:rPr>
        <w:t>their own</w:t>
      </w:r>
      <w:r w:rsidR="000A64EE" w:rsidRPr="00827F98">
        <w:rPr>
          <w:rFonts w:asciiTheme="majorHAnsi" w:hAnsiTheme="majorHAnsi"/>
          <w:sz w:val="22"/>
          <w:szCs w:val="22"/>
        </w:rPr>
        <w:t xml:space="preserve"> </w:t>
      </w:r>
      <w:r w:rsidRPr="00827F98">
        <w:rPr>
          <w:rFonts w:asciiTheme="majorHAnsi" w:hAnsiTheme="majorHAnsi"/>
          <w:sz w:val="22"/>
          <w:szCs w:val="22"/>
        </w:rPr>
        <w:t>evaluation</w:t>
      </w:r>
      <w:r w:rsidR="000A64EE">
        <w:rPr>
          <w:rFonts w:asciiTheme="majorHAnsi" w:hAnsiTheme="majorHAnsi"/>
          <w:sz w:val="22"/>
          <w:szCs w:val="22"/>
        </w:rPr>
        <w:t>.  This evaluation shall</w:t>
      </w:r>
      <w:r w:rsidRPr="00827F98">
        <w:rPr>
          <w:rFonts w:asciiTheme="majorHAnsi" w:hAnsiTheme="majorHAnsi"/>
          <w:sz w:val="22"/>
          <w:szCs w:val="22"/>
        </w:rPr>
        <w:t xml:space="preserve"> </w:t>
      </w:r>
      <w:r w:rsidR="00DF7545">
        <w:rPr>
          <w:rFonts w:asciiTheme="majorHAnsi" w:hAnsiTheme="majorHAnsi"/>
          <w:sz w:val="22"/>
          <w:szCs w:val="22"/>
        </w:rPr>
        <w:t xml:space="preserve">ensure </w:t>
      </w:r>
      <w:r w:rsidRPr="00827F98">
        <w:rPr>
          <w:rFonts w:asciiTheme="majorHAnsi" w:hAnsiTheme="majorHAnsi"/>
          <w:sz w:val="22"/>
          <w:szCs w:val="22"/>
        </w:rPr>
        <w:t>the external service</w:t>
      </w:r>
      <w:r w:rsidRPr="00827F98">
        <w:rPr>
          <w:rFonts w:asciiTheme="majorHAnsi" w:hAnsiTheme="majorHAnsi"/>
          <w:w w:val="99"/>
          <w:sz w:val="22"/>
          <w:szCs w:val="22"/>
        </w:rPr>
        <w:t xml:space="preserve"> </w:t>
      </w:r>
      <w:r w:rsidRPr="00827F98">
        <w:rPr>
          <w:rFonts w:asciiTheme="majorHAnsi" w:hAnsiTheme="majorHAnsi"/>
          <w:sz w:val="22"/>
          <w:szCs w:val="22"/>
        </w:rPr>
        <w:t xml:space="preserve">supplier </w:t>
      </w:r>
      <w:r w:rsidR="00DF7545">
        <w:rPr>
          <w:rFonts w:asciiTheme="majorHAnsi" w:hAnsiTheme="majorHAnsi"/>
          <w:sz w:val="22"/>
          <w:szCs w:val="22"/>
        </w:rPr>
        <w:t xml:space="preserve">meets the </w:t>
      </w:r>
      <w:r w:rsidRPr="00827F98">
        <w:rPr>
          <w:rFonts w:asciiTheme="majorHAnsi" w:hAnsiTheme="majorHAnsi"/>
          <w:sz w:val="22"/>
          <w:szCs w:val="22"/>
        </w:rPr>
        <w:t>competence, measurement traceability</w:t>
      </w:r>
      <w:r w:rsidR="000A64EE">
        <w:rPr>
          <w:rFonts w:asciiTheme="majorHAnsi" w:hAnsiTheme="majorHAnsi"/>
          <w:sz w:val="22"/>
          <w:szCs w:val="22"/>
        </w:rPr>
        <w:t>,</w:t>
      </w:r>
      <w:r w:rsidRPr="00827F98">
        <w:rPr>
          <w:rFonts w:asciiTheme="majorHAnsi" w:hAnsiTheme="majorHAnsi"/>
          <w:sz w:val="22"/>
          <w:szCs w:val="22"/>
        </w:rPr>
        <w:t xml:space="preserve"> and measurement capability </w:t>
      </w:r>
      <w:r w:rsidR="000A64EE">
        <w:rPr>
          <w:rFonts w:asciiTheme="majorHAnsi" w:hAnsiTheme="majorHAnsi"/>
          <w:sz w:val="22"/>
          <w:szCs w:val="22"/>
        </w:rPr>
        <w:t>require</w:t>
      </w:r>
      <w:r w:rsidR="007041D1">
        <w:rPr>
          <w:rFonts w:asciiTheme="majorHAnsi" w:hAnsiTheme="majorHAnsi"/>
          <w:sz w:val="22"/>
          <w:szCs w:val="22"/>
        </w:rPr>
        <w:t>ment</w:t>
      </w:r>
      <w:r w:rsidR="000A64EE">
        <w:rPr>
          <w:rFonts w:asciiTheme="majorHAnsi" w:hAnsiTheme="majorHAnsi"/>
          <w:sz w:val="22"/>
          <w:szCs w:val="22"/>
        </w:rPr>
        <w:t xml:space="preserve">s of </w:t>
      </w:r>
      <w:r w:rsidR="00DF7545">
        <w:rPr>
          <w:rFonts w:asciiTheme="majorHAnsi" w:hAnsiTheme="majorHAnsi"/>
          <w:sz w:val="22"/>
          <w:szCs w:val="22"/>
        </w:rPr>
        <w:t xml:space="preserve">ISO/IEC 17025:2005 or in the </w:t>
      </w:r>
      <w:r w:rsidR="00DF7545" w:rsidRPr="00C22911">
        <w:rPr>
          <w:rFonts w:asciiTheme="majorHAnsi" w:hAnsiTheme="majorHAnsi"/>
          <w:i/>
          <w:sz w:val="22"/>
          <w:szCs w:val="22"/>
        </w:rPr>
        <w:t>ILAC Policy on the Traceability of Measurement Results</w:t>
      </w:r>
      <w:r w:rsidR="00DF7545">
        <w:rPr>
          <w:rFonts w:asciiTheme="majorHAnsi" w:hAnsiTheme="majorHAnsi"/>
          <w:sz w:val="22"/>
          <w:szCs w:val="22"/>
        </w:rPr>
        <w:t>.</w:t>
      </w:r>
      <w:r w:rsidR="001D335B">
        <w:rPr>
          <w:rStyle w:val="FootnoteReference"/>
          <w:rFonts w:asciiTheme="majorHAnsi" w:hAnsiTheme="majorHAnsi"/>
          <w:sz w:val="22"/>
          <w:szCs w:val="22"/>
        </w:rPr>
        <w:footnoteReference w:id="9"/>
      </w:r>
      <w:r w:rsidR="00DB72E1">
        <w:rPr>
          <w:rFonts w:asciiTheme="majorHAnsi" w:hAnsiTheme="majorHAnsi"/>
          <w:sz w:val="22"/>
          <w:szCs w:val="22"/>
        </w:rPr>
        <w:t xml:space="preserve"> </w:t>
      </w:r>
      <w:r w:rsidR="00DF7545">
        <w:rPr>
          <w:rFonts w:asciiTheme="majorHAnsi" w:hAnsiTheme="majorHAnsi"/>
          <w:sz w:val="22"/>
          <w:szCs w:val="22"/>
        </w:rPr>
        <w:t xml:space="preserve">The forensic science service provider shall </w:t>
      </w:r>
      <w:r w:rsidRPr="00827F98">
        <w:rPr>
          <w:rFonts w:asciiTheme="majorHAnsi" w:hAnsiTheme="majorHAnsi"/>
          <w:sz w:val="22"/>
          <w:szCs w:val="22"/>
        </w:rPr>
        <w:t xml:space="preserve">keep objective evidence of this evaluation. </w:t>
      </w:r>
      <w:r w:rsidR="00965A79">
        <w:rPr>
          <w:rFonts w:asciiTheme="majorHAnsi" w:hAnsiTheme="majorHAnsi"/>
          <w:sz w:val="22"/>
          <w:szCs w:val="22"/>
        </w:rPr>
        <w:t xml:space="preserve">The forensic </w:t>
      </w:r>
      <w:r w:rsidR="00520B31">
        <w:rPr>
          <w:rFonts w:asciiTheme="majorHAnsi" w:hAnsiTheme="majorHAnsi"/>
          <w:sz w:val="22"/>
          <w:szCs w:val="22"/>
        </w:rPr>
        <w:t xml:space="preserve">science </w:t>
      </w:r>
      <w:r w:rsidR="00965A79">
        <w:rPr>
          <w:rFonts w:asciiTheme="majorHAnsi" w:hAnsiTheme="majorHAnsi"/>
          <w:sz w:val="22"/>
          <w:szCs w:val="22"/>
        </w:rPr>
        <w:t>service provider shall perform a</w:t>
      </w:r>
      <w:r w:rsidR="00D159A0">
        <w:rPr>
          <w:rFonts w:asciiTheme="majorHAnsi" w:hAnsiTheme="majorHAnsi"/>
          <w:sz w:val="22"/>
          <w:szCs w:val="22"/>
        </w:rPr>
        <w:t xml:space="preserve"> re-</w:t>
      </w:r>
      <w:r w:rsidRPr="00827F98">
        <w:rPr>
          <w:rFonts w:asciiTheme="majorHAnsi" w:hAnsiTheme="majorHAnsi"/>
          <w:sz w:val="22"/>
          <w:szCs w:val="22"/>
        </w:rPr>
        <w:t>evaluation of services at least every two years.</w:t>
      </w:r>
    </w:p>
    <w:p w14:paraId="3F2A4FD8" w14:textId="77777777" w:rsidR="00537F01" w:rsidRPr="00827F98" w:rsidRDefault="00334E61" w:rsidP="009A3B1E">
      <w:pPr>
        <w:pStyle w:val="BodyText"/>
        <w:widowControl/>
        <w:numPr>
          <w:ilvl w:val="2"/>
          <w:numId w:val="9"/>
        </w:numPr>
        <w:tabs>
          <w:tab w:val="left" w:pos="720"/>
        </w:tabs>
        <w:spacing w:after="240"/>
        <w:ind w:left="0" w:firstLine="0"/>
        <w:jc w:val="both"/>
        <w:rPr>
          <w:rFonts w:asciiTheme="majorHAnsi" w:hAnsiTheme="majorHAnsi"/>
          <w:b/>
          <w:sz w:val="22"/>
          <w:szCs w:val="22"/>
        </w:rPr>
      </w:pPr>
      <w:r w:rsidRPr="00827F98">
        <w:rPr>
          <w:rFonts w:asciiTheme="majorHAnsi" w:hAnsiTheme="majorHAnsi"/>
          <w:b/>
          <w:sz w:val="22"/>
          <w:szCs w:val="22"/>
        </w:rPr>
        <w:t>Calibration Program</w:t>
      </w:r>
    </w:p>
    <w:p w14:paraId="5545ECCE" w14:textId="77777777" w:rsidR="00537F01" w:rsidRPr="00827F98" w:rsidRDefault="00965A79">
      <w:pPr>
        <w:pStyle w:val="BodyText"/>
        <w:widowControl/>
        <w:tabs>
          <w:tab w:val="left" w:pos="360"/>
        </w:tabs>
        <w:spacing w:after="240"/>
        <w:ind w:left="0"/>
        <w:jc w:val="both"/>
        <w:rPr>
          <w:rFonts w:asciiTheme="majorHAnsi" w:hAnsiTheme="majorHAnsi"/>
          <w:sz w:val="22"/>
          <w:szCs w:val="22"/>
        </w:rPr>
      </w:pPr>
      <w:r>
        <w:rPr>
          <w:rFonts w:asciiTheme="majorHAnsi" w:hAnsiTheme="majorHAnsi"/>
          <w:sz w:val="22"/>
          <w:szCs w:val="22"/>
        </w:rPr>
        <w:t>The forensic science service provider shall identify a</w:t>
      </w:r>
      <w:r w:rsidRPr="00827F98">
        <w:rPr>
          <w:rFonts w:asciiTheme="majorHAnsi" w:hAnsiTheme="majorHAnsi"/>
          <w:sz w:val="22"/>
          <w:szCs w:val="22"/>
        </w:rPr>
        <w:t xml:space="preserve">ll </w:t>
      </w:r>
      <w:r w:rsidR="00334E61" w:rsidRPr="00827F98">
        <w:rPr>
          <w:rFonts w:asciiTheme="majorHAnsi" w:hAnsiTheme="majorHAnsi"/>
          <w:sz w:val="22"/>
          <w:szCs w:val="22"/>
        </w:rPr>
        <w:t xml:space="preserve">equipment </w:t>
      </w:r>
      <w:r>
        <w:rPr>
          <w:rFonts w:asciiTheme="majorHAnsi" w:hAnsiTheme="majorHAnsi"/>
          <w:sz w:val="22"/>
          <w:szCs w:val="22"/>
        </w:rPr>
        <w:t>in a calibration program, however named, that requires</w:t>
      </w:r>
      <w:r w:rsidR="00334E61" w:rsidRPr="00827F98">
        <w:rPr>
          <w:rFonts w:asciiTheme="majorHAnsi" w:hAnsiTheme="majorHAnsi"/>
          <w:sz w:val="22"/>
          <w:szCs w:val="22"/>
        </w:rPr>
        <w:t xml:space="preserve"> calibration to establish</w:t>
      </w:r>
      <w:r w:rsidR="00334E61" w:rsidRPr="00827F98">
        <w:rPr>
          <w:rFonts w:asciiTheme="majorHAnsi" w:hAnsiTheme="majorHAnsi"/>
          <w:w w:val="99"/>
          <w:sz w:val="22"/>
          <w:szCs w:val="22"/>
        </w:rPr>
        <w:t xml:space="preserve"> </w:t>
      </w:r>
      <w:r w:rsidR="00334E61" w:rsidRPr="00827F98">
        <w:rPr>
          <w:rFonts w:asciiTheme="majorHAnsi" w:hAnsiTheme="majorHAnsi"/>
          <w:sz w:val="22"/>
          <w:szCs w:val="22"/>
        </w:rPr>
        <w:t>measurement traceability, either totally or partially</w:t>
      </w:r>
      <w:r>
        <w:rPr>
          <w:rFonts w:asciiTheme="majorHAnsi" w:hAnsiTheme="majorHAnsi"/>
          <w:sz w:val="22"/>
          <w:szCs w:val="22"/>
        </w:rPr>
        <w:t>.</w:t>
      </w:r>
      <w:r w:rsidR="00DB72E1">
        <w:rPr>
          <w:rFonts w:asciiTheme="majorHAnsi" w:hAnsiTheme="majorHAnsi"/>
          <w:sz w:val="22"/>
          <w:szCs w:val="22"/>
        </w:rPr>
        <w:t xml:space="preserve"> </w:t>
      </w:r>
      <w:r>
        <w:rPr>
          <w:rFonts w:asciiTheme="majorHAnsi" w:hAnsiTheme="majorHAnsi"/>
          <w:sz w:val="22"/>
          <w:szCs w:val="22"/>
        </w:rPr>
        <w:t>The documentation</w:t>
      </w:r>
      <w:r w:rsidRPr="00827F98">
        <w:rPr>
          <w:rFonts w:asciiTheme="majorHAnsi" w:hAnsiTheme="majorHAnsi"/>
          <w:sz w:val="22"/>
          <w:szCs w:val="22"/>
        </w:rPr>
        <w:t xml:space="preserve"> </w:t>
      </w:r>
      <w:r w:rsidR="004F43F4">
        <w:rPr>
          <w:rFonts w:asciiTheme="majorHAnsi" w:hAnsiTheme="majorHAnsi"/>
          <w:sz w:val="22"/>
          <w:szCs w:val="22"/>
        </w:rPr>
        <w:t>shall</w:t>
      </w:r>
      <w:r>
        <w:rPr>
          <w:rFonts w:asciiTheme="majorHAnsi" w:hAnsiTheme="majorHAnsi"/>
          <w:sz w:val="22"/>
          <w:szCs w:val="22"/>
        </w:rPr>
        <w:t>:</w:t>
      </w:r>
      <w:r w:rsidR="00334E61" w:rsidRPr="00827F98">
        <w:rPr>
          <w:rFonts w:asciiTheme="majorHAnsi" w:hAnsiTheme="majorHAnsi"/>
          <w:sz w:val="22"/>
          <w:szCs w:val="22"/>
        </w:rPr>
        <w:t xml:space="preserve"> </w:t>
      </w:r>
    </w:p>
    <w:p w14:paraId="769A84C8" w14:textId="77777777" w:rsidR="00537F01" w:rsidRPr="00827F98" w:rsidRDefault="00334E61" w:rsidP="009A3B1E">
      <w:pPr>
        <w:pStyle w:val="BodyText"/>
        <w:widowControl/>
        <w:numPr>
          <w:ilvl w:val="3"/>
          <w:numId w:val="10"/>
        </w:numPr>
        <w:tabs>
          <w:tab w:val="left" w:pos="360"/>
          <w:tab w:val="left" w:pos="2601"/>
        </w:tabs>
        <w:spacing w:after="240"/>
        <w:ind w:left="360" w:hanging="360"/>
        <w:jc w:val="both"/>
        <w:rPr>
          <w:rFonts w:asciiTheme="majorHAnsi" w:hAnsiTheme="majorHAnsi"/>
          <w:sz w:val="22"/>
          <w:szCs w:val="22"/>
        </w:rPr>
      </w:pPr>
      <w:r w:rsidRPr="00827F98">
        <w:rPr>
          <w:rFonts w:asciiTheme="majorHAnsi" w:hAnsiTheme="majorHAnsi"/>
          <w:sz w:val="22"/>
          <w:szCs w:val="22"/>
        </w:rPr>
        <w:t>establish the interval for calibration;</w:t>
      </w:r>
    </w:p>
    <w:p w14:paraId="20E4E6B7" w14:textId="77777777" w:rsidR="00537F01" w:rsidRPr="00827F98" w:rsidRDefault="00334E61">
      <w:pPr>
        <w:pStyle w:val="BodyText"/>
        <w:widowControl/>
        <w:numPr>
          <w:ilvl w:val="3"/>
          <w:numId w:val="10"/>
        </w:numPr>
        <w:tabs>
          <w:tab w:val="left" w:pos="360"/>
          <w:tab w:val="left" w:pos="2601"/>
        </w:tabs>
        <w:spacing w:after="240"/>
        <w:ind w:left="360" w:hanging="360"/>
        <w:jc w:val="both"/>
        <w:rPr>
          <w:rFonts w:asciiTheme="majorHAnsi" w:hAnsiTheme="majorHAnsi"/>
          <w:sz w:val="22"/>
          <w:szCs w:val="22"/>
        </w:rPr>
      </w:pPr>
      <w:r w:rsidRPr="00827F98">
        <w:rPr>
          <w:rFonts w:asciiTheme="majorHAnsi" w:hAnsiTheme="majorHAnsi"/>
          <w:sz w:val="22"/>
          <w:szCs w:val="22"/>
        </w:rPr>
        <w:t>delineate if intermediate checks of the calibration status are</w:t>
      </w:r>
      <w:r w:rsidRPr="00827F98">
        <w:rPr>
          <w:rFonts w:asciiTheme="majorHAnsi" w:hAnsiTheme="majorHAnsi"/>
          <w:w w:val="99"/>
          <w:sz w:val="22"/>
          <w:szCs w:val="22"/>
        </w:rPr>
        <w:t xml:space="preserve"> </w:t>
      </w:r>
      <w:r w:rsidRPr="00827F98">
        <w:rPr>
          <w:rFonts w:asciiTheme="majorHAnsi" w:hAnsiTheme="majorHAnsi"/>
          <w:sz w:val="22"/>
          <w:szCs w:val="22"/>
        </w:rPr>
        <w:t>required between calibrations and if so, the schedule and</w:t>
      </w:r>
      <w:r w:rsidRPr="00827F98">
        <w:rPr>
          <w:rFonts w:asciiTheme="majorHAnsi" w:hAnsiTheme="majorHAnsi"/>
          <w:w w:val="99"/>
          <w:sz w:val="22"/>
          <w:szCs w:val="22"/>
        </w:rPr>
        <w:t xml:space="preserve"> </w:t>
      </w:r>
      <w:r w:rsidRPr="00827F98">
        <w:rPr>
          <w:rFonts w:asciiTheme="majorHAnsi" w:hAnsiTheme="majorHAnsi"/>
          <w:sz w:val="22"/>
          <w:szCs w:val="22"/>
        </w:rPr>
        <w:t>procedure for those intermediate checks; and</w:t>
      </w:r>
    </w:p>
    <w:p w14:paraId="0873D047" w14:textId="77777777" w:rsidR="00537F01" w:rsidRDefault="00334E61">
      <w:pPr>
        <w:pStyle w:val="BodyText"/>
        <w:widowControl/>
        <w:numPr>
          <w:ilvl w:val="3"/>
          <w:numId w:val="10"/>
        </w:numPr>
        <w:tabs>
          <w:tab w:val="left" w:pos="360"/>
          <w:tab w:val="left" w:pos="2601"/>
        </w:tabs>
        <w:spacing w:after="240"/>
        <w:ind w:left="360" w:hanging="360"/>
        <w:jc w:val="both"/>
        <w:rPr>
          <w:rFonts w:asciiTheme="majorHAnsi" w:hAnsiTheme="majorHAnsi"/>
          <w:sz w:val="22"/>
          <w:szCs w:val="22"/>
        </w:rPr>
      </w:pPr>
      <w:r w:rsidRPr="00827F98">
        <w:rPr>
          <w:rFonts w:asciiTheme="majorHAnsi" w:hAnsiTheme="majorHAnsi"/>
          <w:sz w:val="22"/>
          <w:szCs w:val="22"/>
        </w:rPr>
        <w:t>require calibration of new equipment of this type (e.g., balance, pipette) prior to use of the equipment in testing, calibration or inspection work.</w:t>
      </w:r>
    </w:p>
    <w:p w14:paraId="5E09E671" w14:textId="77777777" w:rsidR="00F63F21" w:rsidRPr="00827F98" w:rsidRDefault="00F63F21" w:rsidP="009457C5">
      <w:pPr>
        <w:pStyle w:val="BodyText"/>
        <w:widowControl/>
        <w:tabs>
          <w:tab w:val="left" w:pos="360"/>
          <w:tab w:val="left" w:pos="2601"/>
        </w:tabs>
        <w:spacing w:after="240"/>
        <w:ind w:left="0"/>
        <w:jc w:val="both"/>
        <w:rPr>
          <w:rFonts w:asciiTheme="majorHAnsi" w:hAnsiTheme="majorHAnsi"/>
          <w:sz w:val="22"/>
          <w:szCs w:val="22"/>
        </w:rPr>
      </w:pPr>
      <w:r>
        <w:rPr>
          <w:rFonts w:asciiTheme="majorHAnsi" w:hAnsiTheme="majorHAnsi"/>
          <w:sz w:val="22"/>
          <w:szCs w:val="22"/>
        </w:rPr>
        <w:t>See Section 6 for minimum calibration requirements.</w:t>
      </w:r>
    </w:p>
    <w:p w14:paraId="3CDA7529" w14:textId="77777777" w:rsidR="00537F01" w:rsidRPr="00827F98" w:rsidRDefault="00334E61" w:rsidP="009A3B1E">
      <w:pPr>
        <w:pStyle w:val="BodyText"/>
        <w:widowControl/>
        <w:numPr>
          <w:ilvl w:val="2"/>
          <w:numId w:val="9"/>
        </w:numPr>
        <w:tabs>
          <w:tab w:val="left" w:pos="720"/>
          <w:tab w:val="left" w:pos="1881"/>
        </w:tabs>
        <w:spacing w:after="240"/>
        <w:ind w:left="0" w:firstLine="0"/>
        <w:jc w:val="both"/>
        <w:rPr>
          <w:rFonts w:asciiTheme="majorHAnsi" w:hAnsiTheme="majorHAnsi"/>
          <w:b/>
          <w:sz w:val="22"/>
          <w:szCs w:val="22"/>
        </w:rPr>
      </w:pPr>
      <w:r w:rsidRPr="00827F98">
        <w:rPr>
          <w:rFonts w:asciiTheme="majorHAnsi" w:hAnsiTheme="majorHAnsi"/>
          <w:b/>
          <w:sz w:val="22"/>
          <w:szCs w:val="22"/>
        </w:rPr>
        <w:t>Certified Reference Materials</w:t>
      </w:r>
    </w:p>
    <w:p w14:paraId="23CD8641" w14:textId="0DA05D6F" w:rsidR="00537F01" w:rsidRPr="00827F98" w:rsidRDefault="00334E61">
      <w:pPr>
        <w:pStyle w:val="BodyText"/>
        <w:widowControl/>
        <w:tabs>
          <w:tab w:val="left" w:pos="360"/>
        </w:tabs>
        <w:spacing w:after="240"/>
        <w:ind w:left="0"/>
        <w:jc w:val="both"/>
        <w:rPr>
          <w:rFonts w:asciiTheme="majorHAnsi" w:hAnsiTheme="majorHAnsi"/>
          <w:sz w:val="22"/>
          <w:szCs w:val="22"/>
        </w:rPr>
      </w:pPr>
      <w:r w:rsidRPr="00827F98">
        <w:rPr>
          <w:rFonts w:asciiTheme="majorHAnsi" w:hAnsiTheme="majorHAnsi"/>
          <w:sz w:val="22"/>
          <w:szCs w:val="22"/>
        </w:rPr>
        <w:t xml:space="preserve">If </w:t>
      </w:r>
      <w:proofErr w:type="gramStart"/>
      <w:r w:rsidRPr="00827F98">
        <w:rPr>
          <w:rFonts w:asciiTheme="majorHAnsi" w:hAnsiTheme="majorHAnsi"/>
          <w:sz w:val="22"/>
          <w:szCs w:val="22"/>
        </w:rPr>
        <w:t>traceability</w:t>
      </w:r>
      <w:proofErr w:type="gramEnd"/>
      <w:r w:rsidRPr="00827F98">
        <w:rPr>
          <w:rFonts w:asciiTheme="majorHAnsi" w:hAnsiTheme="majorHAnsi"/>
          <w:sz w:val="22"/>
          <w:szCs w:val="22"/>
        </w:rPr>
        <w:t xml:space="preserve"> of a measurement will be established</w:t>
      </w:r>
      <w:r w:rsidR="00411A68">
        <w:rPr>
          <w:rFonts w:asciiTheme="majorHAnsi" w:hAnsiTheme="majorHAnsi"/>
          <w:sz w:val="22"/>
          <w:szCs w:val="22"/>
        </w:rPr>
        <w:t xml:space="preserve"> through reference material</w:t>
      </w:r>
      <w:r w:rsidRPr="00827F98">
        <w:rPr>
          <w:rFonts w:asciiTheme="majorHAnsi" w:hAnsiTheme="majorHAnsi"/>
          <w:sz w:val="22"/>
          <w:szCs w:val="22"/>
        </w:rPr>
        <w:t xml:space="preserve">, </w:t>
      </w:r>
      <w:r w:rsidR="00BB603F">
        <w:rPr>
          <w:rFonts w:asciiTheme="majorHAnsi" w:hAnsiTheme="majorHAnsi"/>
          <w:sz w:val="22"/>
          <w:szCs w:val="22"/>
        </w:rPr>
        <w:t xml:space="preserve">the </w:t>
      </w:r>
      <w:r w:rsidR="00AE42E1">
        <w:rPr>
          <w:rFonts w:asciiTheme="majorHAnsi" w:hAnsiTheme="majorHAnsi"/>
          <w:sz w:val="22"/>
          <w:szCs w:val="22"/>
        </w:rPr>
        <w:t xml:space="preserve">forensic </w:t>
      </w:r>
      <w:r w:rsidR="005549D8">
        <w:rPr>
          <w:rFonts w:asciiTheme="majorHAnsi" w:hAnsiTheme="majorHAnsi"/>
          <w:sz w:val="22"/>
          <w:szCs w:val="22"/>
        </w:rPr>
        <w:t>science service provider</w:t>
      </w:r>
      <w:r w:rsidR="00BB603F">
        <w:rPr>
          <w:rFonts w:asciiTheme="majorHAnsi" w:hAnsiTheme="majorHAnsi"/>
          <w:sz w:val="22"/>
          <w:szCs w:val="22"/>
        </w:rPr>
        <w:t xml:space="preserve"> </w:t>
      </w:r>
      <w:r w:rsidR="00D00C1F">
        <w:rPr>
          <w:rFonts w:asciiTheme="majorHAnsi" w:hAnsiTheme="majorHAnsi"/>
          <w:sz w:val="22"/>
          <w:szCs w:val="22"/>
        </w:rPr>
        <w:t xml:space="preserve">shall </w:t>
      </w:r>
      <w:r w:rsidR="00BB603F">
        <w:rPr>
          <w:rFonts w:asciiTheme="majorHAnsi" w:hAnsiTheme="majorHAnsi"/>
          <w:sz w:val="22"/>
          <w:szCs w:val="22"/>
        </w:rPr>
        <w:t>establish it</w:t>
      </w:r>
      <w:r w:rsidR="00037992">
        <w:rPr>
          <w:rFonts w:asciiTheme="majorHAnsi" w:hAnsiTheme="majorHAnsi"/>
          <w:sz w:val="22"/>
          <w:szCs w:val="22"/>
        </w:rPr>
        <w:t xml:space="preserve"> </w:t>
      </w:r>
      <w:proofErr w:type="gramStart"/>
      <w:r w:rsidRPr="00827F98">
        <w:rPr>
          <w:rFonts w:asciiTheme="majorHAnsi" w:hAnsiTheme="majorHAnsi"/>
          <w:sz w:val="22"/>
          <w:szCs w:val="22"/>
        </w:rPr>
        <w:t>through the use of</w:t>
      </w:r>
      <w:proofErr w:type="gramEnd"/>
      <w:r w:rsidRPr="00827F98">
        <w:rPr>
          <w:rFonts w:asciiTheme="majorHAnsi" w:hAnsiTheme="majorHAnsi"/>
          <w:sz w:val="22"/>
          <w:szCs w:val="22"/>
        </w:rPr>
        <w:t xml:space="preserve"> one or more certified reference</w:t>
      </w:r>
      <w:r w:rsidRPr="00827F98">
        <w:rPr>
          <w:rFonts w:asciiTheme="majorHAnsi" w:hAnsiTheme="majorHAnsi"/>
          <w:w w:val="99"/>
          <w:sz w:val="22"/>
          <w:szCs w:val="22"/>
        </w:rPr>
        <w:t xml:space="preserve"> </w:t>
      </w:r>
      <w:r w:rsidRPr="00827F98">
        <w:rPr>
          <w:rFonts w:asciiTheme="majorHAnsi" w:hAnsiTheme="majorHAnsi"/>
          <w:sz w:val="22"/>
          <w:szCs w:val="22"/>
        </w:rPr>
        <w:t>material(s) (CRM</w:t>
      </w:r>
      <w:r w:rsidR="00037992" w:rsidRPr="00827F98">
        <w:rPr>
          <w:rFonts w:asciiTheme="majorHAnsi" w:hAnsiTheme="majorHAnsi"/>
          <w:sz w:val="22"/>
          <w:szCs w:val="22"/>
        </w:rPr>
        <w:t>)</w:t>
      </w:r>
      <w:r w:rsidR="00037992">
        <w:rPr>
          <w:rFonts w:asciiTheme="majorHAnsi" w:hAnsiTheme="majorHAnsi"/>
          <w:sz w:val="22"/>
          <w:szCs w:val="22"/>
        </w:rPr>
        <w:t>. If available,</w:t>
      </w:r>
      <w:r w:rsidRPr="00827F98">
        <w:rPr>
          <w:rFonts w:asciiTheme="majorHAnsi" w:hAnsiTheme="majorHAnsi"/>
          <w:sz w:val="22"/>
          <w:szCs w:val="22"/>
        </w:rPr>
        <w:t xml:space="preserve"> </w:t>
      </w:r>
      <w:r w:rsidR="00F342C0">
        <w:rPr>
          <w:rFonts w:asciiTheme="majorHAnsi" w:hAnsiTheme="majorHAnsi"/>
          <w:sz w:val="22"/>
          <w:szCs w:val="22"/>
        </w:rPr>
        <w:t>the</w:t>
      </w:r>
      <w:r w:rsidR="00F342C0" w:rsidRPr="00827F98">
        <w:rPr>
          <w:rFonts w:asciiTheme="majorHAnsi" w:hAnsiTheme="majorHAnsi"/>
          <w:sz w:val="22"/>
          <w:szCs w:val="22"/>
        </w:rPr>
        <w:t xml:space="preserve"> </w:t>
      </w:r>
      <w:r w:rsidRPr="00827F98">
        <w:rPr>
          <w:rFonts w:asciiTheme="majorHAnsi" w:hAnsiTheme="majorHAnsi"/>
          <w:sz w:val="22"/>
          <w:szCs w:val="22"/>
        </w:rPr>
        <w:t xml:space="preserve">CRM </w:t>
      </w:r>
      <w:r w:rsidR="00942C9D">
        <w:rPr>
          <w:rFonts w:asciiTheme="majorHAnsi" w:hAnsiTheme="majorHAnsi"/>
          <w:sz w:val="22"/>
          <w:szCs w:val="22"/>
        </w:rPr>
        <w:t>sh</w:t>
      </w:r>
      <w:r w:rsidR="00037992">
        <w:rPr>
          <w:rFonts w:asciiTheme="majorHAnsi" w:hAnsiTheme="majorHAnsi"/>
          <w:sz w:val="22"/>
          <w:szCs w:val="22"/>
        </w:rPr>
        <w:t>all</w:t>
      </w:r>
      <w:r w:rsidR="00942C9D" w:rsidRPr="00827F98">
        <w:rPr>
          <w:rFonts w:asciiTheme="majorHAnsi" w:hAnsiTheme="majorHAnsi"/>
          <w:sz w:val="22"/>
          <w:szCs w:val="22"/>
        </w:rPr>
        <w:t xml:space="preserve"> </w:t>
      </w:r>
      <w:r w:rsidRPr="00827F98">
        <w:rPr>
          <w:rFonts w:asciiTheme="majorHAnsi" w:hAnsiTheme="majorHAnsi"/>
          <w:sz w:val="22"/>
          <w:szCs w:val="22"/>
        </w:rPr>
        <w:t xml:space="preserve">be obtained </w:t>
      </w:r>
      <w:r w:rsidR="00037992">
        <w:rPr>
          <w:rFonts w:asciiTheme="majorHAnsi" w:hAnsiTheme="majorHAnsi"/>
          <w:sz w:val="22"/>
          <w:szCs w:val="22"/>
        </w:rPr>
        <w:t xml:space="preserve">by the </w:t>
      </w:r>
      <w:r w:rsidR="005549D8">
        <w:rPr>
          <w:rFonts w:asciiTheme="majorHAnsi" w:hAnsiTheme="majorHAnsi"/>
          <w:sz w:val="22"/>
          <w:szCs w:val="22"/>
        </w:rPr>
        <w:t xml:space="preserve">forensic science service provider </w:t>
      </w:r>
      <w:r w:rsidRPr="00827F98">
        <w:rPr>
          <w:rFonts w:asciiTheme="majorHAnsi" w:hAnsiTheme="majorHAnsi"/>
          <w:sz w:val="22"/>
          <w:szCs w:val="22"/>
        </w:rPr>
        <w:t>from a supplier</w:t>
      </w:r>
      <w:r w:rsidR="00942C9D">
        <w:rPr>
          <w:rFonts w:asciiTheme="majorHAnsi" w:hAnsiTheme="majorHAnsi"/>
          <w:sz w:val="22"/>
          <w:szCs w:val="22"/>
        </w:rPr>
        <w:t xml:space="preserve"> that is</w:t>
      </w:r>
      <w:r w:rsidRPr="00827F98">
        <w:rPr>
          <w:rFonts w:asciiTheme="majorHAnsi" w:hAnsiTheme="majorHAnsi"/>
          <w:sz w:val="22"/>
          <w:szCs w:val="22"/>
        </w:rPr>
        <w:t xml:space="preserve"> either:</w:t>
      </w:r>
    </w:p>
    <w:p w14:paraId="1EA435B8" w14:textId="77777777" w:rsidR="00537F01" w:rsidRPr="00827F98" w:rsidRDefault="00334E61">
      <w:pPr>
        <w:pStyle w:val="BodyText"/>
        <w:widowControl/>
        <w:numPr>
          <w:ilvl w:val="3"/>
          <w:numId w:val="11"/>
        </w:numPr>
        <w:tabs>
          <w:tab w:val="left" w:pos="360"/>
        </w:tabs>
        <w:spacing w:after="240"/>
        <w:ind w:left="360" w:hanging="360"/>
        <w:jc w:val="both"/>
        <w:rPr>
          <w:rFonts w:asciiTheme="majorHAnsi" w:hAnsiTheme="majorHAnsi"/>
          <w:sz w:val="22"/>
          <w:szCs w:val="22"/>
        </w:rPr>
      </w:pPr>
      <w:r w:rsidRPr="00827F98">
        <w:rPr>
          <w:rFonts w:asciiTheme="majorHAnsi" w:hAnsiTheme="majorHAnsi"/>
          <w:sz w:val="22"/>
          <w:szCs w:val="22"/>
        </w:rPr>
        <w:t>a National Metrology Institute (NMI) that is a signatory to the</w:t>
      </w:r>
      <w:r w:rsidRPr="00827F98">
        <w:rPr>
          <w:rFonts w:asciiTheme="majorHAnsi" w:hAnsiTheme="majorHAnsi"/>
          <w:w w:val="99"/>
          <w:sz w:val="22"/>
          <w:szCs w:val="22"/>
        </w:rPr>
        <w:t xml:space="preserve"> </w:t>
      </w:r>
      <w:r w:rsidRPr="00827F98">
        <w:rPr>
          <w:rFonts w:asciiTheme="majorHAnsi" w:hAnsiTheme="majorHAnsi"/>
          <w:sz w:val="22"/>
          <w:szCs w:val="22"/>
        </w:rPr>
        <w:t xml:space="preserve">BIPM - CIPM </w:t>
      </w:r>
      <w:r w:rsidRPr="009730D3">
        <w:rPr>
          <w:rFonts w:asciiTheme="majorHAnsi" w:hAnsiTheme="majorHAnsi"/>
          <w:i/>
          <w:sz w:val="22"/>
          <w:szCs w:val="22"/>
        </w:rPr>
        <w:t>Mutual Recognition Arrangement</w:t>
      </w:r>
      <w:r w:rsidR="00F342C0">
        <w:rPr>
          <w:rFonts w:asciiTheme="majorHAnsi" w:hAnsiTheme="majorHAnsi"/>
          <w:i/>
          <w:sz w:val="22"/>
          <w:szCs w:val="22"/>
        </w:rPr>
        <w:t>,</w:t>
      </w:r>
      <w:r w:rsidRPr="009730D3">
        <w:rPr>
          <w:rFonts w:asciiTheme="majorHAnsi" w:hAnsiTheme="majorHAnsi"/>
          <w:i/>
          <w:sz w:val="22"/>
          <w:szCs w:val="22"/>
        </w:rPr>
        <w:t xml:space="preserve"> </w:t>
      </w:r>
      <w:r w:rsidRPr="00827F98">
        <w:rPr>
          <w:rFonts w:asciiTheme="majorHAnsi" w:hAnsiTheme="majorHAnsi"/>
          <w:sz w:val="22"/>
          <w:szCs w:val="22"/>
        </w:rPr>
        <w:t>with the CRM to</w:t>
      </w:r>
      <w:r w:rsidR="00141BAA" w:rsidRPr="00827F98">
        <w:rPr>
          <w:rFonts w:asciiTheme="majorHAnsi" w:hAnsiTheme="majorHAnsi"/>
          <w:sz w:val="22"/>
          <w:szCs w:val="22"/>
        </w:rPr>
        <w:t xml:space="preserve"> </w:t>
      </w:r>
      <w:r w:rsidRPr="00827F98">
        <w:rPr>
          <w:rFonts w:asciiTheme="majorHAnsi" w:hAnsiTheme="majorHAnsi"/>
          <w:sz w:val="22"/>
          <w:szCs w:val="22"/>
        </w:rPr>
        <w:t>be purchased included in the BIPM key comparison database</w:t>
      </w:r>
      <w:r w:rsidRPr="00827F98">
        <w:rPr>
          <w:rFonts w:asciiTheme="majorHAnsi" w:hAnsiTheme="majorHAnsi"/>
          <w:w w:val="99"/>
          <w:sz w:val="22"/>
          <w:szCs w:val="22"/>
        </w:rPr>
        <w:t xml:space="preserve"> </w:t>
      </w:r>
      <w:r w:rsidRPr="00827F98">
        <w:rPr>
          <w:rFonts w:asciiTheme="majorHAnsi" w:hAnsiTheme="majorHAnsi"/>
          <w:sz w:val="22"/>
          <w:szCs w:val="22"/>
        </w:rPr>
        <w:t>(KCDB); or</w:t>
      </w:r>
    </w:p>
    <w:p w14:paraId="1CAD9FF9" w14:textId="77777777" w:rsidR="00537F01" w:rsidRPr="00827F98" w:rsidRDefault="00334E61">
      <w:pPr>
        <w:pStyle w:val="BodyText"/>
        <w:widowControl/>
        <w:numPr>
          <w:ilvl w:val="3"/>
          <w:numId w:val="11"/>
        </w:numPr>
        <w:tabs>
          <w:tab w:val="left" w:pos="360"/>
          <w:tab w:val="left" w:pos="3001"/>
        </w:tabs>
        <w:spacing w:after="240"/>
        <w:ind w:left="360" w:hanging="360"/>
        <w:jc w:val="both"/>
        <w:rPr>
          <w:rFonts w:asciiTheme="majorHAnsi" w:hAnsiTheme="majorHAnsi"/>
          <w:sz w:val="22"/>
          <w:szCs w:val="22"/>
        </w:rPr>
      </w:pPr>
      <w:r w:rsidRPr="00827F98">
        <w:rPr>
          <w:rFonts w:asciiTheme="majorHAnsi" w:hAnsiTheme="majorHAnsi"/>
          <w:sz w:val="22"/>
          <w:szCs w:val="22"/>
        </w:rPr>
        <w:lastRenderedPageBreak/>
        <w:t xml:space="preserve">an accredited Reference Material Producer that is accredited to ISO </w:t>
      </w:r>
      <w:r w:rsidR="005C2C8F">
        <w:rPr>
          <w:rFonts w:asciiTheme="majorHAnsi" w:hAnsiTheme="majorHAnsi"/>
          <w:sz w:val="22"/>
          <w:szCs w:val="22"/>
        </w:rPr>
        <w:t xml:space="preserve">Guide </w:t>
      </w:r>
      <w:r w:rsidRPr="00827F98">
        <w:rPr>
          <w:rFonts w:asciiTheme="majorHAnsi" w:hAnsiTheme="majorHAnsi"/>
          <w:sz w:val="22"/>
          <w:szCs w:val="22"/>
        </w:rPr>
        <w:t xml:space="preserve">34:2009 </w:t>
      </w:r>
      <w:r w:rsidR="00FB1CC2">
        <w:rPr>
          <w:rFonts w:asciiTheme="majorHAnsi" w:hAnsiTheme="majorHAnsi"/>
          <w:sz w:val="22"/>
          <w:szCs w:val="22"/>
        </w:rPr>
        <w:t>or ISO</w:t>
      </w:r>
      <w:r w:rsidR="00682EFA">
        <w:rPr>
          <w:rFonts w:asciiTheme="majorHAnsi" w:hAnsiTheme="majorHAnsi"/>
          <w:sz w:val="22"/>
          <w:szCs w:val="22"/>
        </w:rPr>
        <w:t> </w:t>
      </w:r>
      <w:r w:rsidR="00FB1CC2">
        <w:rPr>
          <w:rFonts w:asciiTheme="majorHAnsi" w:hAnsiTheme="majorHAnsi"/>
          <w:sz w:val="22"/>
          <w:szCs w:val="22"/>
        </w:rPr>
        <w:t xml:space="preserve">17034:2016 </w:t>
      </w:r>
      <w:r w:rsidRPr="00827F98">
        <w:rPr>
          <w:rFonts w:asciiTheme="majorHAnsi" w:hAnsiTheme="majorHAnsi"/>
          <w:sz w:val="22"/>
          <w:szCs w:val="22"/>
        </w:rPr>
        <w:t>by an accrediting body that is a signatory</w:t>
      </w:r>
      <w:r w:rsidRPr="00827F98">
        <w:rPr>
          <w:rFonts w:asciiTheme="majorHAnsi" w:hAnsiTheme="majorHAnsi"/>
          <w:w w:val="99"/>
          <w:sz w:val="22"/>
          <w:szCs w:val="22"/>
        </w:rPr>
        <w:t xml:space="preserve"> </w:t>
      </w:r>
      <w:r w:rsidRPr="00827F98">
        <w:rPr>
          <w:rFonts w:asciiTheme="majorHAnsi" w:hAnsiTheme="majorHAnsi"/>
          <w:sz w:val="22"/>
          <w:szCs w:val="22"/>
        </w:rPr>
        <w:t>to a mutual or multilateral recognition arrangement in an ILAC</w:t>
      </w:r>
      <w:r w:rsidRPr="00827F98">
        <w:rPr>
          <w:rFonts w:asciiTheme="majorHAnsi" w:hAnsiTheme="majorHAnsi"/>
          <w:w w:val="99"/>
          <w:sz w:val="22"/>
          <w:szCs w:val="22"/>
        </w:rPr>
        <w:t xml:space="preserve"> </w:t>
      </w:r>
      <w:r w:rsidRPr="00827F98">
        <w:rPr>
          <w:rFonts w:asciiTheme="majorHAnsi" w:hAnsiTheme="majorHAnsi"/>
          <w:sz w:val="22"/>
          <w:szCs w:val="22"/>
        </w:rPr>
        <w:t>recognized regional accreditation cooperation or the</w:t>
      </w:r>
      <w:r w:rsidRPr="009730D3">
        <w:rPr>
          <w:rFonts w:asciiTheme="majorHAnsi" w:hAnsiTheme="majorHAnsi"/>
          <w:sz w:val="22"/>
          <w:szCs w:val="22"/>
        </w:rPr>
        <w:t xml:space="preserve"> ILAC</w:t>
      </w:r>
      <w:r w:rsidRPr="00682EFA">
        <w:rPr>
          <w:rFonts w:asciiTheme="majorHAnsi" w:hAnsiTheme="majorHAnsi"/>
          <w:i/>
          <w:w w:val="99"/>
          <w:sz w:val="22"/>
          <w:szCs w:val="22"/>
        </w:rPr>
        <w:t xml:space="preserve"> </w:t>
      </w:r>
      <w:r w:rsidRPr="00682EFA">
        <w:rPr>
          <w:rFonts w:asciiTheme="majorHAnsi" w:hAnsiTheme="majorHAnsi"/>
          <w:i/>
          <w:sz w:val="22"/>
          <w:szCs w:val="22"/>
        </w:rPr>
        <w:t>Mutual Recognition Arrangement</w:t>
      </w:r>
      <w:r w:rsidRPr="00827F98">
        <w:rPr>
          <w:rFonts w:asciiTheme="majorHAnsi" w:hAnsiTheme="majorHAnsi"/>
          <w:sz w:val="22"/>
          <w:szCs w:val="22"/>
        </w:rPr>
        <w:t>, with a scope of accreditation</w:t>
      </w:r>
      <w:r w:rsidRPr="00827F98">
        <w:rPr>
          <w:rFonts w:asciiTheme="majorHAnsi" w:hAnsiTheme="majorHAnsi"/>
          <w:w w:val="99"/>
          <w:sz w:val="22"/>
          <w:szCs w:val="22"/>
        </w:rPr>
        <w:t xml:space="preserve"> </w:t>
      </w:r>
      <w:r w:rsidRPr="00827F98">
        <w:rPr>
          <w:rFonts w:asciiTheme="majorHAnsi" w:hAnsiTheme="majorHAnsi"/>
          <w:sz w:val="22"/>
          <w:szCs w:val="22"/>
        </w:rPr>
        <w:t>covering the CRM.</w:t>
      </w:r>
    </w:p>
    <w:p w14:paraId="4BDEDBEA" w14:textId="1C917884" w:rsidR="00942C9D" w:rsidRDefault="00334E61">
      <w:pPr>
        <w:pStyle w:val="BodyText"/>
        <w:widowControl/>
        <w:tabs>
          <w:tab w:val="left" w:pos="360"/>
        </w:tabs>
        <w:spacing w:after="240"/>
        <w:ind w:left="0"/>
        <w:jc w:val="both"/>
        <w:rPr>
          <w:rFonts w:asciiTheme="majorHAnsi" w:hAnsiTheme="majorHAnsi"/>
          <w:sz w:val="22"/>
          <w:szCs w:val="22"/>
        </w:rPr>
      </w:pPr>
      <w:r w:rsidRPr="00827F98">
        <w:rPr>
          <w:rFonts w:asciiTheme="majorHAnsi" w:hAnsiTheme="majorHAnsi"/>
          <w:sz w:val="22"/>
          <w:szCs w:val="22"/>
        </w:rPr>
        <w:t xml:space="preserve">If a CRM is not available </w:t>
      </w:r>
      <w:r w:rsidR="00BB603F">
        <w:rPr>
          <w:rFonts w:asciiTheme="majorHAnsi" w:hAnsiTheme="majorHAnsi"/>
          <w:sz w:val="22"/>
          <w:szCs w:val="22"/>
        </w:rPr>
        <w:t xml:space="preserve">to the </w:t>
      </w:r>
      <w:r w:rsidR="00AE42E1">
        <w:rPr>
          <w:rFonts w:asciiTheme="majorHAnsi" w:hAnsiTheme="majorHAnsi"/>
          <w:sz w:val="22"/>
          <w:szCs w:val="22"/>
        </w:rPr>
        <w:t xml:space="preserve">forensic </w:t>
      </w:r>
      <w:r w:rsidR="005549D8">
        <w:rPr>
          <w:rFonts w:asciiTheme="majorHAnsi" w:hAnsiTheme="majorHAnsi"/>
          <w:sz w:val="22"/>
          <w:szCs w:val="22"/>
        </w:rPr>
        <w:t>science service provider</w:t>
      </w:r>
      <w:r w:rsidR="00BB603F">
        <w:rPr>
          <w:rFonts w:asciiTheme="majorHAnsi" w:hAnsiTheme="majorHAnsi"/>
          <w:sz w:val="22"/>
          <w:szCs w:val="22"/>
        </w:rPr>
        <w:t xml:space="preserve"> </w:t>
      </w:r>
      <w:r w:rsidRPr="00827F98">
        <w:rPr>
          <w:rFonts w:asciiTheme="majorHAnsi" w:hAnsiTheme="majorHAnsi"/>
          <w:sz w:val="22"/>
          <w:szCs w:val="22"/>
        </w:rPr>
        <w:t>from a supplier that meets the above</w:t>
      </w:r>
      <w:r w:rsidRPr="00827F98">
        <w:rPr>
          <w:rFonts w:asciiTheme="majorHAnsi" w:hAnsiTheme="majorHAnsi"/>
          <w:w w:val="99"/>
          <w:sz w:val="22"/>
          <w:szCs w:val="22"/>
        </w:rPr>
        <w:t xml:space="preserve"> </w:t>
      </w:r>
      <w:r w:rsidRPr="00827F98">
        <w:rPr>
          <w:rFonts w:asciiTheme="majorHAnsi" w:hAnsiTheme="majorHAnsi"/>
          <w:sz w:val="22"/>
          <w:szCs w:val="22"/>
        </w:rPr>
        <w:t xml:space="preserve">requirement, then the forensic science service provider </w:t>
      </w:r>
      <w:r w:rsidR="004F43F4">
        <w:rPr>
          <w:rFonts w:asciiTheme="majorHAnsi" w:hAnsiTheme="majorHAnsi"/>
          <w:sz w:val="22"/>
          <w:szCs w:val="22"/>
        </w:rPr>
        <w:t>shall</w:t>
      </w:r>
      <w:r w:rsidRPr="00827F98">
        <w:rPr>
          <w:rFonts w:asciiTheme="majorHAnsi" w:hAnsiTheme="majorHAnsi"/>
          <w:sz w:val="22"/>
          <w:szCs w:val="22"/>
        </w:rPr>
        <w:t xml:space="preserve"> perform an evaluation of the CRM supplier</w:t>
      </w:r>
      <w:r w:rsidR="007041D1">
        <w:rPr>
          <w:rFonts w:asciiTheme="majorHAnsi" w:hAnsiTheme="majorHAnsi"/>
          <w:sz w:val="22"/>
          <w:szCs w:val="22"/>
        </w:rPr>
        <w:t>.</w:t>
      </w:r>
      <w:r w:rsidRPr="00827F98">
        <w:rPr>
          <w:rFonts w:asciiTheme="majorHAnsi" w:hAnsiTheme="majorHAnsi"/>
          <w:sz w:val="22"/>
          <w:szCs w:val="22"/>
        </w:rPr>
        <w:t xml:space="preserve"> </w:t>
      </w:r>
      <w:r w:rsidR="007041D1">
        <w:rPr>
          <w:rFonts w:asciiTheme="majorHAnsi" w:hAnsiTheme="majorHAnsi"/>
          <w:sz w:val="22"/>
          <w:szCs w:val="22"/>
        </w:rPr>
        <w:t>This evaluation shall</w:t>
      </w:r>
      <w:r w:rsidR="007041D1" w:rsidRPr="00827F98">
        <w:rPr>
          <w:rFonts w:asciiTheme="majorHAnsi" w:hAnsiTheme="majorHAnsi"/>
          <w:sz w:val="22"/>
          <w:szCs w:val="22"/>
        </w:rPr>
        <w:t xml:space="preserve"> </w:t>
      </w:r>
      <w:r w:rsidR="007041D1">
        <w:rPr>
          <w:rFonts w:asciiTheme="majorHAnsi" w:hAnsiTheme="majorHAnsi"/>
          <w:sz w:val="22"/>
          <w:szCs w:val="22"/>
        </w:rPr>
        <w:t xml:space="preserve">ensure </w:t>
      </w:r>
      <w:r w:rsidR="007041D1" w:rsidRPr="00827F98">
        <w:rPr>
          <w:rFonts w:asciiTheme="majorHAnsi" w:hAnsiTheme="majorHAnsi"/>
          <w:sz w:val="22"/>
          <w:szCs w:val="22"/>
        </w:rPr>
        <w:t xml:space="preserve">the </w:t>
      </w:r>
      <w:r w:rsidR="007041D1">
        <w:rPr>
          <w:rFonts w:asciiTheme="majorHAnsi" w:hAnsiTheme="majorHAnsi"/>
          <w:sz w:val="22"/>
          <w:szCs w:val="22"/>
        </w:rPr>
        <w:t xml:space="preserve">CRM supplier meets the </w:t>
      </w:r>
      <w:r w:rsidR="007041D1" w:rsidRPr="00827F98">
        <w:rPr>
          <w:rFonts w:asciiTheme="majorHAnsi" w:hAnsiTheme="majorHAnsi"/>
          <w:sz w:val="22"/>
          <w:szCs w:val="22"/>
        </w:rPr>
        <w:t>competence, measurement traceability</w:t>
      </w:r>
      <w:r w:rsidR="007041D1">
        <w:rPr>
          <w:rFonts w:asciiTheme="majorHAnsi" w:hAnsiTheme="majorHAnsi"/>
          <w:sz w:val="22"/>
          <w:szCs w:val="22"/>
        </w:rPr>
        <w:t>,</w:t>
      </w:r>
      <w:r w:rsidR="007041D1" w:rsidRPr="00827F98">
        <w:rPr>
          <w:rFonts w:asciiTheme="majorHAnsi" w:hAnsiTheme="majorHAnsi"/>
          <w:sz w:val="22"/>
          <w:szCs w:val="22"/>
        </w:rPr>
        <w:t xml:space="preserve"> and measurement capability </w:t>
      </w:r>
      <w:r w:rsidR="007041D1">
        <w:rPr>
          <w:rFonts w:asciiTheme="majorHAnsi" w:hAnsiTheme="majorHAnsi"/>
          <w:sz w:val="22"/>
          <w:szCs w:val="22"/>
        </w:rPr>
        <w:t xml:space="preserve">requirements of ISO/IEC 17025:2005 or in the </w:t>
      </w:r>
      <w:r w:rsidR="007041D1" w:rsidRPr="00C22911">
        <w:rPr>
          <w:rFonts w:asciiTheme="majorHAnsi" w:hAnsiTheme="majorHAnsi"/>
          <w:i/>
          <w:sz w:val="22"/>
          <w:szCs w:val="22"/>
        </w:rPr>
        <w:t>ILAC Policy on the Traceability of Measurement Results</w:t>
      </w:r>
      <w:r w:rsidR="007041D1">
        <w:rPr>
          <w:rFonts w:asciiTheme="majorHAnsi" w:hAnsiTheme="majorHAnsi"/>
          <w:sz w:val="22"/>
          <w:szCs w:val="22"/>
        </w:rPr>
        <w:t>.</w:t>
      </w:r>
      <w:r w:rsidRPr="00827F98">
        <w:rPr>
          <w:rFonts w:asciiTheme="majorHAnsi" w:hAnsiTheme="majorHAnsi"/>
          <w:sz w:val="22"/>
          <w:szCs w:val="22"/>
        </w:rPr>
        <w:t xml:space="preserve"> </w:t>
      </w:r>
      <w:r w:rsidR="00942C9D">
        <w:rPr>
          <w:rFonts w:asciiTheme="majorHAnsi" w:hAnsiTheme="majorHAnsi"/>
          <w:sz w:val="22"/>
          <w:szCs w:val="22"/>
        </w:rPr>
        <w:t xml:space="preserve">The forensic science service provider shall </w:t>
      </w:r>
      <w:r w:rsidR="00942C9D" w:rsidRPr="00827F98">
        <w:rPr>
          <w:rFonts w:asciiTheme="majorHAnsi" w:hAnsiTheme="majorHAnsi"/>
          <w:sz w:val="22"/>
          <w:szCs w:val="22"/>
        </w:rPr>
        <w:t xml:space="preserve">keep objective evidence of this evaluation. </w:t>
      </w:r>
      <w:r w:rsidR="00942C9D">
        <w:rPr>
          <w:rFonts w:asciiTheme="majorHAnsi" w:hAnsiTheme="majorHAnsi"/>
          <w:sz w:val="22"/>
          <w:szCs w:val="22"/>
        </w:rPr>
        <w:t xml:space="preserve">The forensic </w:t>
      </w:r>
      <w:r w:rsidR="00520B31">
        <w:rPr>
          <w:rFonts w:asciiTheme="majorHAnsi" w:hAnsiTheme="majorHAnsi"/>
          <w:sz w:val="22"/>
          <w:szCs w:val="22"/>
        </w:rPr>
        <w:t xml:space="preserve">science </w:t>
      </w:r>
      <w:r w:rsidR="00942C9D">
        <w:rPr>
          <w:rFonts w:asciiTheme="majorHAnsi" w:hAnsiTheme="majorHAnsi"/>
          <w:sz w:val="22"/>
          <w:szCs w:val="22"/>
        </w:rPr>
        <w:t>service provider shall perform a re-</w:t>
      </w:r>
      <w:r w:rsidR="00942C9D" w:rsidRPr="00827F98">
        <w:rPr>
          <w:rFonts w:asciiTheme="majorHAnsi" w:hAnsiTheme="majorHAnsi"/>
          <w:sz w:val="22"/>
          <w:szCs w:val="22"/>
        </w:rPr>
        <w:t>evaluation of services at least every two years.</w:t>
      </w:r>
    </w:p>
    <w:p w14:paraId="3FA76C49" w14:textId="77777777" w:rsidR="00FF7DDB" w:rsidRPr="000E0C71" w:rsidRDefault="00266E8E" w:rsidP="006B3421">
      <w:pPr>
        <w:pStyle w:val="BodyText"/>
        <w:keepNext/>
        <w:widowControl/>
        <w:numPr>
          <w:ilvl w:val="2"/>
          <w:numId w:val="9"/>
        </w:numPr>
        <w:tabs>
          <w:tab w:val="left" w:pos="720"/>
          <w:tab w:val="left" w:pos="2281"/>
        </w:tabs>
        <w:spacing w:after="240"/>
        <w:ind w:left="0" w:firstLine="0"/>
        <w:jc w:val="both"/>
        <w:rPr>
          <w:rFonts w:asciiTheme="majorHAnsi" w:hAnsiTheme="majorHAnsi"/>
          <w:b/>
          <w:sz w:val="22"/>
          <w:szCs w:val="22"/>
        </w:rPr>
      </w:pPr>
      <w:r w:rsidRPr="000E0C71">
        <w:rPr>
          <w:rFonts w:asciiTheme="majorHAnsi" w:hAnsiTheme="majorHAnsi"/>
          <w:b/>
          <w:sz w:val="22"/>
          <w:szCs w:val="22"/>
        </w:rPr>
        <w:t>Modifications to Reference Materials</w:t>
      </w:r>
    </w:p>
    <w:p w14:paraId="14F202EA" w14:textId="0FC0A7D2" w:rsidR="00537F01" w:rsidRPr="00827F98" w:rsidRDefault="00334E61">
      <w:pPr>
        <w:pStyle w:val="BodyText"/>
        <w:widowControl/>
        <w:tabs>
          <w:tab w:val="left" w:pos="360"/>
          <w:tab w:val="left" w:pos="2281"/>
        </w:tabs>
        <w:spacing w:after="240"/>
        <w:ind w:left="0"/>
        <w:jc w:val="both"/>
        <w:rPr>
          <w:rFonts w:asciiTheme="majorHAnsi" w:hAnsiTheme="majorHAnsi"/>
          <w:sz w:val="22"/>
          <w:szCs w:val="22"/>
        </w:rPr>
      </w:pPr>
      <w:r w:rsidRPr="00827F98">
        <w:rPr>
          <w:rFonts w:asciiTheme="majorHAnsi" w:hAnsiTheme="majorHAnsi"/>
          <w:sz w:val="22"/>
          <w:szCs w:val="22"/>
        </w:rPr>
        <w:t xml:space="preserve">If a </w:t>
      </w:r>
      <w:r w:rsidR="00266E8E">
        <w:rPr>
          <w:rFonts w:asciiTheme="majorHAnsi" w:hAnsiTheme="majorHAnsi"/>
          <w:sz w:val="22"/>
          <w:szCs w:val="22"/>
        </w:rPr>
        <w:t>reference material</w:t>
      </w:r>
      <w:r w:rsidR="009E42DD">
        <w:rPr>
          <w:rFonts w:asciiTheme="majorHAnsi" w:hAnsiTheme="majorHAnsi"/>
          <w:sz w:val="22"/>
          <w:szCs w:val="22"/>
        </w:rPr>
        <w:t xml:space="preserve"> used to establish traceability</w:t>
      </w:r>
      <w:r w:rsidR="00266E8E">
        <w:rPr>
          <w:rFonts w:asciiTheme="majorHAnsi" w:hAnsiTheme="majorHAnsi"/>
          <w:sz w:val="22"/>
          <w:szCs w:val="22"/>
        </w:rPr>
        <w:t>, whether certified or not,</w:t>
      </w:r>
      <w:r w:rsidR="00266E8E" w:rsidRPr="00827F98">
        <w:rPr>
          <w:rFonts w:asciiTheme="majorHAnsi" w:hAnsiTheme="majorHAnsi"/>
          <w:sz w:val="22"/>
          <w:szCs w:val="22"/>
        </w:rPr>
        <w:t xml:space="preserve"> </w:t>
      </w:r>
      <w:r w:rsidRPr="00827F98">
        <w:rPr>
          <w:rFonts w:asciiTheme="majorHAnsi" w:hAnsiTheme="majorHAnsi"/>
          <w:sz w:val="22"/>
          <w:szCs w:val="22"/>
        </w:rPr>
        <w:t xml:space="preserve">is </w:t>
      </w:r>
      <w:r w:rsidR="00E14A48">
        <w:rPr>
          <w:rFonts w:asciiTheme="majorHAnsi" w:hAnsiTheme="majorHAnsi"/>
          <w:sz w:val="22"/>
          <w:szCs w:val="22"/>
        </w:rPr>
        <w:t>diluted, such as a</w:t>
      </w:r>
      <w:r w:rsidR="004E5478">
        <w:rPr>
          <w:rFonts w:asciiTheme="majorHAnsi" w:hAnsiTheme="majorHAnsi"/>
          <w:sz w:val="22"/>
          <w:szCs w:val="22"/>
        </w:rPr>
        <w:t xml:space="preserve"> stock or working </w:t>
      </w:r>
      <w:r w:rsidRPr="00827F98">
        <w:rPr>
          <w:rFonts w:asciiTheme="majorHAnsi" w:hAnsiTheme="majorHAnsi"/>
          <w:sz w:val="22"/>
          <w:szCs w:val="22"/>
        </w:rPr>
        <w:t>s</w:t>
      </w:r>
      <w:r w:rsidR="004E5478">
        <w:rPr>
          <w:rFonts w:asciiTheme="majorHAnsi" w:hAnsiTheme="majorHAnsi"/>
          <w:sz w:val="22"/>
          <w:szCs w:val="22"/>
        </w:rPr>
        <w:t>olution</w:t>
      </w:r>
      <w:r w:rsidRPr="00827F98">
        <w:rPr>
          <w:rFonts w:asciiTheme="majorHAnsi" w:hAnsiTheme="majorHAnsi"/>
          <w:sz w:val="22"/>
          <w:szCs w:val="22"/>
        </w:rPr>
        <w:t xml:space="preserve">, then the equipment used </w:t>
      </w:r>
      <w:r w:rsidR="004F43F4">
        <w:rPr>
          <w:rFonts w:asciiTheme="majorHAnsi" w:hAnsiTheme="majorHAnsi"/>
          <w:sz w:val="22"/>
          <w:szCs w:val="22"/>
        </w:rPr>
        <w:t>shall</w:t>
      </w:r>
      <w:r w:rsidRPr="00827F98">
        <w:rPr>
          <w:rFonts w:asciiTheme="majorHAnsi" w:hAnsiTheme="majorHAnsi"/>
          <w:sz w:val="22"/>
          <w:szCs w:val="22"/>
        </w:rPr>
        <w:t xml:space="preserve"> be calibrated as delineated in Section </w:t>
      </w:r>
      <w:r w:rsidR="00266E8E">
        <w:rPr>
          <w:rFonts w:asciiTheme="majorHAnsi" w:hAnsiTheme="majorHAnsi"/>
          <w:sz w:val="22"/>
          <w:szCs w:val="22"/>
        </w:rPr>
        <w:t>6</w:t>
      </w:r>
      <w:r w:rsidRPr="00827F98">
        <w:rPr>
          <w:rFonts w:asciiTheme="majorHAnsi" w:hAnsiTheme="majorHAnsi"/>
          <w:sz w:val="22"/>
          <w:szCs w:val="22"/>
        </w:rPr>
        <w:t>.</w:t>
      </w:r>
      <w:r w:rsidR="00DB72E1">
        <w:rPr>
          <w:rFonts w:asciiTheme="majorHAnsi" w:hAnsiTheme="majorHAnsi"/>
          <w:b/>
          <w:color w:val="C00000"/>
          <w:sz w:val="22"/>
          <w:szCs w:val="22"/>
        </w:rPr>
        <w:t xml:space="preserve"> </w:t>
      </w:r>
    </w:p>
    <w:p w14:paraId="23668F0B" w14:textId="77777777" w:rsidR="00537F01" w:rsidRPr="00FF7DDB" w:rsidRDefault="00411230" w:rsidP="009A3B1E">
      <w:pPr>
        <w:pStyle w:val="Heading1"/>
        <w:keepNext/>
        <w:widowControl/>
        <w:numPr>
          <w:ilvl w:val="1"/>
          <w:numId w:val="7"/>
        </w:numPr>
        <w:tabs>
          <w:tab w:val="left" w:pos="360"/>
        </w:tabs>
        <w:spacing w:after="240"/>
        <w:ind w:left="0" w:firstLine="0"/>
        <w:jc w:val="both"/>
        <w:rPr>
          <w:rFonts w:asciiTheme="majorHAnsi" w:hAnsiTheme="majorHAnsi"/>
          <w:b w:val="0"/>
          <w:bCs w:val="0"/>
          <w:szCs w:val="22"/>
        </w:rPr>
      </w:pPr>
      <w:bookmarkStart w:id="4" w:name="_Toc494723953"/>
      <w:r>
        <w:rPr>
          <w:rFonts w:asciiTheme="majorHAnsi" w:hAnsiTheme="majorHAnsi"/>
          <w:szCs w:val="22"/>
        </w:rPr>
        <w:t xml:space="preserve">Measurement </w:t>
      </w:r>
      <w:r w:rsidR="00334E61" w:rsidRPr="00FF7DDB">
        <w:rPr>
          <w:rFonts w:asciiTheme="majorHAnsi" w:hAnsiTheme="majorHAnsi"/>
          <w:szCs w:val="22"/>
        </w:rPr>
        <w:t>Traceability Requirements for Toxicology</w:t>
      </w:r>
      <w:bookmarkEnd w:id="4"/>
    </w:p>
    <w:p w14:paraId="308A7024" w14:textId="0257256A" w:rsidR="00537F01" w:rsidRPr="00FF7DDB" w:rsidRDefault="00FF7DDB">
      <w:pPr>
        <w:pStyle w:val="BodyText"/>
        <w:widowControl/>
        <w:tabs>
          <w:tab w:val="left" w:pos="540"/>
        </w:tabs>
        <w:spacing w:after="240"/>
        <w:ind w:left="0"/>
        <w:jc w:val="both"/>
        <w:rPr>
          <w:rFonts w:asciiTheme="majorHAnsi" w:hAnsiTheme="majorHAnsi"/>
          <w:sz w:val="22"/>
          <w:szCs w:val="22"/>
        </w:rPr>
      </w:pPr>
      <w:r w:rsidRPr="00FF7DDB">
        <w:rPr>
          <w:rFonts w:asciiTheme="majorHAnsi" w:hAnsiTheme="majorHAnsi"/>
          <w:b/>
          <w:sz w:val="22"/>
          <w:szCs w:val="22"/>
        </w:rPr>
        <w:t>5.1</w:t>
      </w:r>
      <w:r>
        <w:rPr>
          <w:rFonts w:asciiTheme="majorHAnsi" w:hAnsiTheme="majorHAnsi"/>
          <w:sz w:val="22"/>
          <w:szCs w:val="22"/>
        </w:rPr>
        <w:tab/>
      </w:r>
      <w:r w:rsidR="00032424">
        <w:rPr>
          <w:rFonts w:asciiTheme="majorHAnsi" w:hAnsiTheme="majorHAnsi"/>
          <w:sz w:val="22"/>
          <w:szCs w:val="22"/>
        </w:rPr>
        <w:t>F</w:t>
      </w:r>
      <w:r w:rsidR="00334E61" w:rsidRPr="00FF7DDB">
        <w:rPr>
          <w:rFonts w:asciiTheme="majorHAnsi" w:hAnsiTheme="majorHAnsi"/>
          <w:sz w:val="22"/>
          <w:szCs w:val="22"/>
        </w:rPr>
        <w:t xml:space="preserve">orensic toxicology methods </w:t>
      </w:r>
      <w:r w:rsidR="00032424">
        <w:rPr>
          <w:rFonts w:asciiTheme="majorHAnsi" w:hAnsiTheme="majorHAnsi"/>
          <w:sz w:val="22"/>
          <w:szCs w:val="22"/>
        </w:rPr>
        <w:t>are</w:t>
      </w:r>
      <w:r w:rsidR="00032424" w:rsidRPr="00FF7DDB">
        <w:rPr>
          <w:rFonts w:asciiTheme="majorHAnsi" w:hAnsiTheme="majorHAnsi"/>
          <w:sz w:val="22"/>
          <w:szCs w:val="22"/>
        </w:rPr>
        <w:t xml:space="preserve"> </w:t>
      </w:r>
      <w:r w:rsidR="00334E61" w:rsidRPr="00FF7DDB">
        <w:rPr>
          <w:rFonts w:asciiTheme="majorHAnsi" w:hAnsiTheme="majorHAnsi"/>
          <w:sz w:val="22"/>
          <w:szCs w:val="22"/>
        </w:rPr>
        <w:t>typically categorized as screening, qualitative confirmation/identification, or quantitative.</w:t>
      </w:r>
      <w:r w:rsidR="00334E61" w:rsidRPr="00FF7DDB">
        <w:rPr>
          <w:rFonts w:asciiTheme="majorHAnsi" w:hAnsiTheme="majorHAnsi"/>
          <w:w w:val="99"/>
          <w:sz w:val="22"/>
          <w:szCs w:val="22"/>
        </w:rPr>
        <w:t xml:space="preserve"> </w:t>
      </w:r>
      <w:r w:rsidR="00334E61" w:rsidRPr="00FF7DDB">
        <w:rPr>
          <w:rFonts w:asciiTheme="majorHAnsi" w:hAnsiTheme="majorHAnsi"/>
          <w:sz w:val="22"/>
          <w:szCs w:val="22"/>
        </w:rPr>
        <w:t xml:space="preserve">Measurement traceability </w:t>
      </w:r>
      <w:r w:rsidR="004F43F4">
        <w:rPr>
          <w:rFonts w:asciiTheme="majorHAnsi" w:hAnsiTheme="majorHAnsi"/>
          <w:sz w:val="22"/>
          <w:szCs w:val="22"/>
        </w:rPr>
        <w:t>shall</w:t>
      </w:r>
      <w:r w:rsidR="00334E61" w:rsidRPr="00FF7DDB">
        <w:rPr>
          <w:rFonts w:asciiTheme="majorHAnsi" w:hAnsiTheme="majorHAnsi"/>
          <w:sz w:val="22"/>
          <w:szCs w:val="22"/>
        </w:rPr>
        <w:t xml:space="preserve"> be established </w:t>
      </w:r>
      <w:r w:rsidR="00D159A0">
        <w:rPr>
          <w:rFonts w:asciiTheme="majorHAnsi" w:hAnsiTheme="majorHAnsi"/>
          <w:sz w:val="22"/>
          <w:szCs w:val="22"/>
        </w:rPr>
        <w:t xml:space="preserve">by the forensic toxicology laboratory </w:t>
      </w:r>
      <w:r w:rsidR="00334E61" w:rsidRPr="00FF7DDB">
        <w:rPr>
          <w:rFonts w:asciiTheme="majorHAnsi" w:hAnsiTheme="majorHAnsi"/>
          <w:sz w:val="22"/>
          <w:szCs w:val="22"/>
        </w:rPr>
        <w:t>through the use of one or more</w:t>
      </w:r>
      <w:r w:rsidR="00334E61" w:rsidRPr="00FF7DDB">
        <w:rPr>
          <w:rFonts w:asciiTheme="majorHAnsi" w:hAnsiTheme="majorHAnsi"/>
          <w:w w:val="99"/>
          <w:sz w:val="22"/>
          <w:szCs w:val="22"/>
        </w:rPr>
        <w:t xml:space="preserve"> </w:t>
      </w:r>
      <w:r w:rsidR="00032424" w:rsidRPr="00FF7DDB">
        <w:rPr>
          <w:rFonts w:asciiTheme="majorHAnsi" w:hAnsiTheme="majorHAnsi"/>
          <w:sz w:val="22"/>
          <w:szCs w:val="22"/>
        </w:rPr>
        <w:t>metrologically</w:t>
      </w:r>
      <w:r w:rsidR="00032424">
        <w:rPr>
          <w:rFonts w:asciiTheme="majorHAnsi" w:hAnsiTheme="majorHAnsi"/>
          <w:sz w:val="22"/>
          <w:szCs w:val="22"/>
        </w:rPr>
        <w:t>-</w:t>
      </w:r>
      <w:r w:rsidR="00334E61" w:rsidRPr="00FF7DDB">
        <w:rPr>
          <w:rFonts w:asciiTheme="majorHAnsi" w:hAnsiTheme="majorHAnsi"/>
          <w:sz w:val="22"/>
          <w:szCs w:val="22"/>
        </w:rPr>
        <w:t>prepared calibrators.</w:t>
      </w:r>
      <w:r w:rsidR="00032424">
        <w:rPr>
          <w:rStyle w:val="FootnoteReference"/>
          <w:rFonts w:asciiTheme="majorHAnsi" w:hAnsiTheme="majorHAnsi"/>
          <w:sz w:val="22"/>
          <w:szCs w:val="22"/>
        </w:rPr>
        <w:footnoteReference w:id="10"/>
      </w:r>
      <w:r w:rsidR="00334E61" w:rsidRPr="00FF7DDB">
        <w:rPr>
          <w:rFonts w:asciiTheme="majorHAnsi" w:hAnsiTheme="majorHAnsi"/>
          <w:sz w:val="22"/>
          <w:szCs w:val="22"/>
        </w:rPr>
        <w:t xml:space="preserve"> Additionally, a laboratory may choose to use controls that are </w:t>
      </w:r>
      <w:proofErr w:type="gramStart"/>
      <w:r w:rsidR="00691807" w:rsidRPr="00FF7DDB">
        <w:rPr>
          <w:rFonts w:asciiTheme="majorHAnsi" w:hAnsiTheme="majorHAnsi"/>
          <w:sz w:val="22"/>
          <w:szCs w:val="22"/>
        </w:rPr>
        <w:t>metrologically</w:t>
      </w:r>
      <w:r w:rsidR="00691807">
        <w:rPr>
          <w:rFonts w:asciiTheme="majorHAnsi" w:hAnsiTheme="majorHAnsi"/>
          <w:sz w:val="22"/>
          <w:szCs w:val="22"/>
        </w:rPr>
        <w:t>-prepared</w:t>
      </w:r>
      <w:proofErr w:type="gramEnd"/>
      <w:r w:rsidR="00334E61" w:rsidRPr="00FF7DDB">
        <w:rPr>
          <w:rFonts w:asciiTheme="majorHAnsi" w:hAnsiTheme="majorHAnsi"/>
          <w:sz w:val="22"/>
          <w:szCs w:val="22"/>
        </w:rPr>
        <w:t>.</w:t>
      </w:r>
    </w:p>
    <w:p w14:paraId="49FCD212" w14:textId="77777777" w:rsidR="00537F01" w:rsidRPr="00FF7DDB" w:rsidRDefault="005D00F7">
      <w:pPr>
        <w:pStyle w:val="BodyText"/>
        <w:widowControl/>
        <w:tabs>
          <w:tab w:val="left" w:pos="540"/>
        </w:tabs>
        <w:spacing w:after="240"/>
        <w:ind w:left="0"/>
        <w:jc w:val="both"/>
        <w:rPr>
          <w:rFonts w:asciiTheme="majorHAnsi" w:hAnsiTheme="majorHAnsi"/>
          <w:sz w:val="22"/>
          <w:szCs w:val="22"/>
        </w:rPr>
      </w:pPr>
      <w:r w:rsidRPr="005D00F7">
        <w:rPr>
          <w:rFonts w:asciiTheme="majorHAnsi" w:hAnsiTheme="majorHAnsi"/>
          <w:b/>
          <w:sz w:val="22"/>
          <w:szCs w:val="22"/>
        </w:rPr>
        <w:t>5.2</w:t>
      </w:r>
      <w:r>
        <w:rPr>
          <w:rFonts w:asciiTheme="majorHAnsi" w:hAnsiTheme="majorHAnsi"/>
          <w:sz w:val="22"/>
          <w:szCs w:val="22"/>
        </w:rPr>
        <w:tab/>
      </w:r>
      <w:r w:rsidR="00334E61" w:rsidRPr="00FF7DDB">
        <w:rPr>
          <w:rFonts w:asciiTheme="majorHAnsi" w:hAnsiTheme="majorHAnsi"/>
          <w:sz w:val="22"/>
          <w:szCs w:val="22"/>
        </w:rPr>
        <w:t xml:space="preserve">The following </w:t>
      </w:r>
      <w:r w:rsidR="00C126AF">
        <w:rPr>
          <w:rFonts w:asciiTheme="majorHAnsi" w:hAnsiTheme="majorHAnsi"/>
          <w:sz w:val="22"/>
          <w:szCs w:val="22"/>
        </w:rPr>
        <w:t xml:space="preserve">(5.2.1 and 5.2.2) </w:t>
      </w:r>
      <w:r w:rsidR="00334E61" w:rsidRPr="00FF7DDB">
        <w:rPr>
          <w:rFonts w:asciiTheme="majorHAnsi" w:hAnsiTheme="majorHAnsi"/>
          <w:sz w:val="22"/>
          <w:szCs w:val="22"/>
        </w:rPr>
        <w:t xml:space="preserve">measurement traceability requirements shall be followed </w:t>
      </w:r>
      <w:r w:rsidR="00D159A0">
        <w:rPr>
          <w:rFonts w:asciiTheme="majorHAnsi" w:hAnsiTheme="majorHAnsi"/>
          <w:sz w:val="22"/>
          <w:szCs w:val="22"/>
        </w:rPr>
        <w:t>by</w:t>
      </w:r>
      <w:r w:rsidR="00D159A0" w:rsidRPr="00FF7DDB">
        <w:rPr>
          <w:rFonts w:asciiTheme="majorHAnsi" w:hAnsiTheme="majorHAnsi"/>
          <w:sz w:val="22"/>
          <w:szCs w:val="22"/>
        </w:rPr>
        <w:t xml:space="preserve"> </w:t>
      </w:r>
      <w:r w:rsidR="00334E61" w:rsidRPr="00FF7DDB">
        <w:rPr>
          <w:rFonts w:asciiTheme="majorHAnsi" w:hAnsiTheme="majorHAnsi"/>
          <w:sz w:val="22"/>
          <w:szCs w:val="22"/>
        </w:rPr>
        <w:t>forensic</w:t>
      </w:r>
      <w:r w:rsidR="00334E61" w:rsidRPr="00FF7DDB">
        <w:rPr>
          <w:rFonts w:asciiTheme="majorHAnsi" w:hAnsiTheme="majorHAnsi"/>
          <w:w w:val="99"/>
          <w:sz w:val="22"/>
          <w:szCs w:val="22"/>
        </w:rPr>
        <w:t xml:space="preserve"> </w:t>
      </w:r>
      <w:r w:rsidR="00334E61" w:rsidRPr="00FF7DDB">
        <w:rPr>
          <w:rFonts w:asciiTheme="majorHAnsi" w:hAnsiTheme="majorHAnsi"/>
          <w:sz w:val="22"/>
          <w:szCs w:val="22"/>
        </w:rPr>
        <w:t xml:space="preserve">toxicology </w:t>
      </w:r>
      <w:r w:rsidR="00D159A0">
        <w:rPr>
          <w:rFonts w:asciiTheme="majorHAnsi" w:hAnsiTheme="majorHAnsi"/>
          <w:sz w:val="22"/>
          <w:szCs w:val="22"/>
        </w:rPr>
        <w:t xml:space="preserve">laboratories for their analytical </w:t>
      </w:r>
      <w:r w:rsidR="00C126AF">
        <w:rPr>
          <w:rFonts w:asciiTheme="majorHAnsi" w:hAnsiTheme="majorHAnsi"/>
          <w:sz w:val="22"/>
          <w:szCs w:val="22"/>
        </w:rPr>
        <w:t>methods.</w:t>
      </w:r>
    </w:p>
    <w:p w14:paraId="0313D0D6" w14:textId="08B8C599" w:rsidR="00C21866" w:rsidRDefault="00C21866" w:rsidP="00E02586">
      <w:pPr>
        <w:pStyle w:val="BodyText"/>
        <w:widowControl/>
        <w:numPr>
          <w:ilvl w:val="2"/>
          <w:numId w:val="16"/>
        </w:numPr>
        <w:tabs>
          <w:tab w:val="left" w:pos="360"/>
          <w:tab w:val="left" w:pos="720"/>
        </w:tabs>
        <w:spacing w:after="240"/>
        <w:ind w:left="0" w:firstLine="0"/>
        <w:jc w:val="both"/>
        <w:rPr>
          <w:rFonts w:asciiTheme="majorHAnsi" w:hAnsiTheme="majorHAnsi"/>
          <w:sz w:val="22"/>
          <w:szCs w:val="22"/>
        </w:rPr>
      </w:pPr>
      <w:r w:rsidRPr="00FF7DDB">
        <w:rPr>
          <w:rFonts w:asciiTheme="majorHAnsi" w:hAnsiTheme="majorHAnsi"/>
          <w:sz w:val="22"/>
          <w:szCs w:val="22"/>
        </w:rPr>
        <w:t xml:space="preserve">Measurement traceability </w:t>
      </w:r>
      <w:r>
        <w:rPr>
          <w:rFonts w:asciiTheme="majorHAnsi" w:hAnsiTheme="majorHAnsi"/>
          <w:sz w:val="22"/>
          <w:szCs w:val="22"/>
        </w:rPr>
        <w:t>shall</w:t>
      </w:r>
      <w:r w:rsidRPr="00FF7DDB">
        <w:rPr>
          <w:rFonts w:asciiTheme="majorHAnsi" w:hAnsiTheme="majorHAnsi"/>
          <w:sz w:val="22"/>
          <w:szCs w:val="22"/>
        </w:rPr>
        <w:t xml:space="preserve"> be established during </w:t>
      </w:r>
      <w:r w:rsidR="00D27000">
        <w:rPr>
          <w:rFonts w:asciiTheme="majorHAnsi" w:hAnsiTheme="majorHAnsi"/>
          <w:sz w:val="22"/>
          <w:szCs w:val="22"/>
        </w:rPr>
        <w:t xml:space="preserve">method validation and </w:t>
      </w:r>
      <w:r w:rsidRPr="00FF7DDB">
        <w:rPr>
          <w:rFonts w:asciiTheme="majorHAnsi" w:hAnsiTheme="majorHAnsi"/>
          <w:sz w:val="22"/>
          <w:szCs w:val="22"/>
        </w:rPr>
        <w:t>routine analysis of cases for:</w:t>
      </w:r>
    </w:p>
    <w:p w14:paraId="51303A5A" w14:textId="19414392" w:rsidR="00AE42E1" w:rsidRDefault="00C21866" w:rsidP="003F3BCC">
      <w:pPr>
        <w:pStyle w:val="BodyText"/>
        <w:widowControl/>
        <w:numPr>
          <w:ilvl w:val="0"/>
          <w:numId w:val="13"/>
        </w:numPr>
        <w:tabs>
          <w:tab w:val="left" w:pos="720"/>
          <w:tab w:val="left" w:pos="2996"/>
        </w:tabs>
        <w:spacing w:after="240"/>
        <w:ind w:left="360"/>
        <w:jc w:val="both"/>
        <w:rPr>
          <w:rFonts w:asciiTheme="majorHAnsi" w:hAnsiTheme="majorHAnsi"/>
          <w:sz w:val="22"/>
          <w:szCs w:val="22"/>
        </w:rPr>
      </w:pPr>
      <w:r>
        <w:rPr>
          <w:rFonts w:asciiTheme="majorHAnsi" w:hAnsiTheme="majorHAnsi"/>
          <w:sz w:val="22"/>
          <w:szCs w:val="22"/>
        </w:rPr>
        <w:t>a</w:t>
      </w:r>
      <w:r w:rsidRPr="00FF7DDB">
        <w:rPr>
          <w:rFonts w:asciiTheme="majorHAnsi" w:hAnsiTheme="majorHAnsi"/>
          <w:sz w:val="22"/>
          <w:szCs w:val="22"/>
        </w:rPr>
        <w:t xml:space="preserve">ll screening procedures </w:t>
      </w:r>
      <w:r w:rsidR="00AE42E1">
        <w:rPr>
          <w:rFonts w:asciiTheme="majorHAnsi" w:hAnsiTheme="majorHAnsi"/>
          <w:sz w:val="22"/>
          <w:szCs w:val="22"/>
        </w:rPr>
        <w:t>with an established decision point concentration;</w:t>
      </w:r>
    </w:p>
    <w:p w14:paraId="2A3F627B" w14:textId="7C26C3A5" w:rsidR="00C21866" w:rsidRPr="0055218F" w:rsidRDefault="00D41BF2" w:rsidP="009457C5">
      <w:pPr>
        <w:pStyle w:val="BodyText"/>
        <w:widowControl/>
        <w:tabs>
          <w:tab w:val="left" w:pos="720"/>
          <w:tab w:val="left" w:pos="2996"/>
        </w:tabs>
        <w:spacing w:after="240"/>
        <w:ind w:left="360"/>
        <w:jc w:val="both"/>
        <w:rPr>
          <w:rFonts w:asciiTheme="majorHAnsi" w:hAnsiTheme="majorHAnsi"/>
          <w:sz w:val="22"/>
          <w:szCs w:val="22"/>
        </w:rPr>
      </w:pPr>
      <w:proofErr w:type="gramStart"/>
      <w:r>
        <w:rPr>
          <w:rFonts w:asciiTheme="majorHAnsi" w:hAnsiTheme="majorHAnsi"/>
          <w:sz w:val="22"/>
          <w:szCs w:val="22"/>
        </w:rPr>
        <w:t>NOTE</w:t>
      </w:r>
      <w:r w:rsidR="00AE42E1">
        <w:rPr>
          <w:rFonts w:asciiTheme="majorHAnsi" w:hAnsiTheme="majorHAnsi"/>
          <w:sz w:val="22"/>
          <w:szCs w:val="22"/>
        </w:rPr>
        <w:t xml:space="preserve">  See</w:t>
      </w:r>
      <w:proofErr w:type="gramEnd"/>
      <w:r w:rsidR="00AE42E1">
        <w:rPr>
          <w:rFonts w:asciiTheme="majorHAnsi" w:hAnsiTheme="majorHAnsi"/>
          <w:sz w:val="22"/>
          <w:szCs w:val="22"/>
        </w:rPr>
        <w:t xml:space="preserve"> 5.2.2 for </w:t>
      </w:r>
      <w:r w:rsidR="00347240" w:rsidRPr="003F3BCC">
        <w:rPr>
          <w:rFonts w:asciiTheme="majorHAnsi" w:hAnsiTheme="majorHAnsi"/>
          <w:sz w:val="22"/>
          <w:szCs w:val="22"/>
        </w:rPr>
        <w:t>immunoassay-based screening procedures</w:t>
      </w:r>
    </w:p>
    <w:p w14:paraId="5CB1E020" w14:textId="7DD1E4D6" w:rsidR="00C21866" w:rsidRPr="00FF7DDB" w:rsidRDefault="00C21866" w:rsidP="002031A4">
      <w:pPr>
        <w:pStyle w:val="BodyText"/>
        <w:widowControl/>
        <w:numPr>
          <w:ilvl w:val="0"/>
          <w:numId w:val="13"/>
        </w:numPr>
        <w:tabs>
          <w:tab w:val="left" w:pos="720"/>
          <w:tab w:val="left" w:pos="2981"/>
        </w:tabs>
        <w:spacing w:after="240"/>
        <w:ind w:left="360"/>
        <w:jc w:val="both"/>
        <w:rPr>
          <w:rFonts w:asciiTheme="majorHAnsi" w:hAnsiTheme="majorHAnsi"/>
          <w:sz w:val="22"/>
          <w:szCs w:val="22"/>
        </w:rPr>
      </w:pPr>
      <w:r>
        <w:rPr>
          <w:rFonts w:asciiTheme="majorHAnsi" w:hAnsiTheme="majorHAnsi"/>
          <w:sz w:val="22"/>
          <w:szCs w:val="22"/>
        </w:rPr>
        <w:t>q</w:t>
      </w:r>
      <w:r w:rsidRPr="00FF7DDB">
        <w:rPr>
          <w:rFonts w:asciiTheme="majorHAnsi" w:hAnsiTheme="majorHAnsi"/>
          <w:sz w:val="22"/>
          <w:szCs w:val="22"/>
        </w:rPr>
        <w:t>ualitative confirmation/identification methods</w:t>
      </w:r>
      <w:r w:rsidR="00AE42E1">
        <w:rPr>
          <w:rFonts w:asciiTheme="majorHAnsi" w:hAnsiTheme="majorHAnsi"/>
          <w:sz w:val="22"/>
          <w:szCs w:val="22"/>
        </w:rPr>
        <w:t xml:space="preserve"> with an established decision point concentration</w:t>
      </w:r>
      <w:r>
        <w:rPr>
          <w:rFonts w:asciiTheme="majorHAnsi" w:hAnsiTheme="majorHAnsi"/>
          <w:sz w:val="22"/>
          <w:szCs w:val="22"/>
        </w:rPr>
        <w:t>;</w:t>
      </w:r>
    </w:p>
    <w:p w14:paraId="2EF01B7F" w14:textId="459DB5B1" w:rsidR="00C21866" w:rsidRDefault="00C21866" w:rsidP="002031A4">
      <w:pPr>
        <w:pStyle w:val="BodyText"/>
        <w:widowControl/>
        <w:numPr>
          <w:ilvl w:val="0"/>
          <w:numId w:val="13"/>
        </w:numPr>
        <w:tabs>
          <w:tab w:val="left" w:pos="720"/>
          <w:tab w:val="left" w:pos="2981"/>
        </w:tabs>
        <w:spacing w:after="240"/>
        <w:ind w:left="360"/>
        <w:jc w:val="both"/>
        <w:rPr>
          <w:rFonts w:asciiTheme="majorHAnsi" w:hAnsiTheme="majorHAnsi"/>
          <w:sz w:val="22"/>
          <w:szCs w:val="22"/>
        </w:rPr>
      </w:pPr>
      <w:r>
        <w:rPr>
          <w:rFonts w:asciiTheme="majorHAnsi" w:hAnsiTheme="majorHAnsi"/>
          <w:sz w:val="22"/>
          <w:szCs w:val="22"/>
        </w:rPr>
        <w:t>q</w:t>
      </w:r>
      <w:r w:rsidRPr="00FF7DDB">
        <w:rPr>
          <w:rFonts w:asciiTheme="majorHAnsi" w:hAnsiTheme="majorHAnsi"/>
          <w:sz w:val="22"/>
          <w:szCs w:val="22"/>
        </w:rPr>
        <w:t>uantitative methods</w:t>
      </w:r>
      <w:r>
        <w:rPr>
          <w:rFonts w:asciiTheme="majorHAnsi" w:hAnsiTheme="majorHAnsi"/>
          <w:sz w:val="22"/>
          <w:szCs w:val="22"/>
        </w:rPr>
        <w:t>.</w:t>
      </w:r>
    </w:p>
    <w:p w14:paraId="429D6D0D" w14:textId="77777777" w:rsidR="007D4F85" w:rsidRPr="007D4F85" w:rsidRDefault="007D4F85" w:rsidP="007D4F85">
      <w:pPr>
        <w:pStyle w:val="BodyText"/>
        <w:widowControl/>
        <w:numPr>
          <w:ilvl w:val="2"/>
          <w:numId w:val="16"/>
        </w:numPr>
        <w:tabs>
          <w:tab w:val="left" w:pos="360"/>
          <w:tab w:val="left" w:pos="720"/>
        </w:tabs>
        <w:spacing w:after="240"/>
        <w:ind w:left="0" w:firstLine="0"/>
        <w:jc w:val="both"/>
        <w:rPr>
          <w:rFonts w:asciiTheme="majorHAnsi" w:hAnsiTheme="majorHAnsi"/>
          <w:sz w:val="22"/>
          <w:szCs w:val="22"/>
        </w:rPr>
      </w:pPr>
      <w:r w:rsidRPr="007D4F85">
        <w:rPr>
          <w:rFonts w:asciiTheme="majorHAnsi" w:hAnsiTheme="majorHAnsi"/>
          <w:sz w:val="22"/>
          <w:szCs w:val="22"/>
        </w:rPr>
        <w:t>Measurement traceability for immunoassay-based screening procedures shall be established during method validation or</w:t>
      </w:r>
      <w:r w:rsidRPr="007D4F85">
        <w:rPr>
          <w:rFonts w:asciiTheme="majorHAnsi" w:hAnsiTheme="majorHAnsi"/>
          <w:w w:val="99"/>
          <w:sz w:val="22"/>
          <w:szCs w:val="22"/>
        </w:rPr>
        <w:t xml:space="preserve"> </w:t>
      </w:r>
      <w:r w:rsidRPr="007D4F85">
        <w:rPr>
          <w:rFonts w:asciiTheme="majorHAnsi" w:hAnsiTheme="majorHAnsi"/>
          <w:sz w:val="22"/>
          <w:szCs w:val="22"/>
        </w:rPr>
        <w:t>during routine analysis of cases. Manufacturer kits used in immunoassay-based screening procedures may lack measurement traceability;</w:t>
      </w:r>
      <w:r w:rsidRPr="007D4F85">
        <w:rPr>
          <w:rFonts w:asciiTheme="majorHAnsi" w:hAnsiTheme="majorHAnsi"/>
        </w:rPr>
        <w:t xml:space="preserve"> therefore, laboratories may establish measurement traceability through use of CRMs while initially validating the method and confirming traceability through use of in-house prepared controls</w:t>
      </w:r>
      <w:r w:rsidRPr="007D4F85">
        <w:rPr>
          <w:rFonts w:asciiTheme="majorHAnsi" w:hAnsiTheme="majorHAnsi"/>
          <w:sz w:val="22"/>
          <w:szCs w:val="22"/>
        </w:rPr>
        <w:t>.</w:t>
      </w:r>
    </w:p>
    <w:p w14:paraId="40BFE141" w14:textId="6557B9AC" w:rsidR="00C92A97" w:rsidRPr="00C92A97" w:rsidRDefault="00C92A97" w:rsidP="009A3B1E">
      <w:pPr>
        <w:pStyle w:val="Heading1"/>
        <w:widowControl/>
        <w:numPr>
          <w:ilvl w:val="1"/>
          <w:numId w:val="7"/>
        </w:numPr>
        <w:tabs>
          <w:tab w:val="left" w:pos="360"/>
        </w:tabs>
        <w:spacing w:after="240"/>
        <w:ind w:left="360"/>
        <w:jc w:val="both"/>
        <w:rPr>
          <w:rFonts w:asciiTheme="majorHAnsi" w:hAnsiTheme="majorHAnsi"/>
          <w:bCs w:val="0"/>
        </w:rPr>
      </w:pPr>
      <w:bookmarkStart w:id="5" w:name="_Toc494723954"/>
      <w:r w:rsidRPr="00C92A97">
        <w:rPr>
          <w:rFonts w:asciiTheme="majorHAnsi" w:hAnsiTheme="majorHAnsi"/>
          <w:bCs w:val="0"/>
        </w:rPr>
        <w:lastRenderedPageBreak/>
        <w:t>Equipment</w:t>
      </w:r>
      <w:bookmarkEnd w:id="5"/>
    </w:p>
    <w:p w14:paraId="3026015E" w14:textId="77777777" w:rsidR="00C25CDE" w:rsidRPr="008F3799" w:rsidRDefault="008F3799" w:rsidP="009A3B1E">
      <w:pPr>
        <w:widowControl/>
        <w:tabs>
          <w:tab w:val="left" w:pos="540"/>
        </w:tabs>
        <w:spacing w:after="240"/>
        <w:jc w:val="both"/>
        <w:rPr>
          <w:rFonts w:asciiTheme="majorHAnsi" w:eastAsia="Cambria" w:hAnsiTheme="majorHAnsi" w:cs="Cambria"/>
        </w:rPr>
      </w:pPr>
      <w:r w:rsidRPr="008F3799">
        <w:rPr>
          <w:rFonts w:asciiTheme="majorHAnsi" w:hAnsiTheme="majorHAnsi"/>
          <w:b/>
        </w:rPr>
        <w:t>6.1</w:t>
      </w:r>
      <w:r w:rsidRPr="008F3799">
        <w:rPr>
          <w:rFonts w:asciiTheme="majorHAnsi" w:hAnsiTheme="majorHAnsi"/>
          <w:b/>
        </w:rPr>
        <w:tab/>
        <w:t>General</w:t>
      </w:r>
    </w:p>
    <w:p w14:paraId="3D0F35C3" w14:textId="099BEDE7" w:rsidR="009D56CE" w:rsidRPr="008F3799" w:rsidRDefault="009D56CE" w:rsidP="009D56CE">
      <w:pPr>
        <w:pStyle w:val="BodyText"/>
        <w:widowControl/>
        <w:spacing w:after="240"/>
        <w:ind w:left="0"/>
        <w:jc w:val="both"/>
        <w:rPr>
          <w:rFonts w:asciiTheme="majorHAnsi" w:hAnsiTheme="majorHAnsi"/>
          <w:sz w:val="22"/>
          <w:szCs w:val="22"/>
        </w:rPr>
      </w:pPr>
      <w:r>
        <w:rPr>
          <w:rFonts w:asciiTheme="majorHAnsi" w:hAnsiTheme="majorHAnsi"/>
          <w:sz w:val="22"/>
          <w:szCs w:val="22"/>
        </w:rPr>
        <w:t>The e</w:t>
      </w:r>
      <w:r w:rsidR="00334E61" w:rsidRPr="008F3799">
        <w:rPr>
          <w:rFonts w:asciiTheme="majorHAnsi" w:hAnsiTheme="majorHAnsi"/>
          <w:sz w:val="22"/>
          <w:szCs w:val="22"/>
        </w:rPr>
        <w:t xml:space="preserve">quipment </w:t>
      </w:r>
      <w:r>
        <w:rPr>
          <w:rFonts w:asciiTheme="majorHAnsi" w:hAnsiTheme="majorHAnsi"/>
          <w:sz w:val="22"/>
          <w:szCs w:val="22"/>
        </w:rPr>
        <w:t xml:space="preserve">listed in Section 6.2 is </w:t>
      </w:r>
      <w:r w:rsidR="00334E61" w:rsidRPr="008F3799">
        <w:rPr>
          <w:rFonts w:asciiTheme="majorHAnsi" w:hAnsiTheme="majorHAnsi"/>
          <w:sz w:val="22"/>
          <w:szCs w:val="22"/>
        </w:rPr>
        <w:t>commonly used in forensic toxicology laboratories</w:t>
      </w:r>
      <w:r>
        <w:rPr>
          <w:rFonts w:asciiTheme="majorHAnsi" w:hAnsiTheme="majorHAnsi"/>
          <w:sz w:val="22"/>
          <w:szCs w:val="22"/>
        </w:rPr>
        <w:t xml:space="preserve"> and</w:t>
      </w:r>
      <w:r w:rsidR="00334E61" w:rsidRPr="008F3799">
        <w:rPr>
          <w:rFonts w:asciiTheme="majorHAnsi" w:hAnsiTheme="majorHAnsi"/>
          <w:sz w:val="22"/>
          <w:szCs w:val="22"/>
        </w:rPr>
        <w:t xml:space="preserve"> shall be</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calibrated by appropriately accredited calibration service suppliers that meet those</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 xml:space="preserve">requirements in Section </w:t>
      </w:r>
      <w:r w:rsidR="008868E7">
        <w:rPr>
          <w:rFonts w:asciiTheme="majorHAnsi" w:hAnsiTheme="majorHAnsi"/>
          <w:sz w:val="22"/>
          <w:szCs w:val="22"/>
        </w:rPr>
        <w:t>4.2.2</w:t>
      </w:r>
      <w:r w:rsidR="00334E61" w:rsidRPr="008F3799">
        <w:rPr>
          <w:rFonts w:asciiTheme="majorHAnsi" w:hAnsiTheme="majorHAnsi"/>
          <w:sz w:val="22"/>
          <w:szCs w:val="22"/>
        </w:rPr>
        <w:t xml:space="preserve">. </w:t>
      </w:r>
    </w:p>
    <w:p w14:paraId="0B8E3FAD" w14:textId="542CD813" w:rsidR="00537F01" w:rsidRPr="008F3799" w:rsidRDefault="00334E61">
      <w:pPr>
        <w:pStyle w:val="BodyText"/>
        <w:widowControl/>
        <w:spacing w:after="240"/>
        <w:ind w:left="0"/>
        <w:jc w:val="both"/>
        <w:rPr>
          <w:rFonts w:asciiTheme="majorHAnsi" w:hAnsiTheme="majorHAnsi"/>
          <w:sz w:val="22"/>
          <w:szCs w:val="22"/>
        </w:rPr>
      </w:pPr>
      <w:r w:rsidRPr="008F3799">
        <w:rPr>
          <w:rFonts w:asciiTheme="majorHAnsi" w:hAnsiTheme="majorHAnsi"/>
          <w:sz w:val="22"/>
          <w:szCs w:val="22"/>
        </w:rPr>
        <w:t xml:space="preserve">Documentation of the accredited </w:t>
      </w:r>
      <w:r w:rsidR="00133FB3" w:rsidRPr="008F3799">
        <w:rPr>
          <w:rFonts w:asciiTheme="majorHAnsi" w:hAnsiTheme="majorHAnsi"/>
          <w:sz w:val="22"/>
          <w:szCs w:val="22"/>
        </w:rPr>
        <w:t>calibrat</w:t>
      </w:r>
      <w:r w:rsidR="00133FB3">
        <w:rPr>
          <w:rFonts w:asciiTheme="majorHAnsi" w:hAnsiTheme="majorHAnsi"/>
          <w:sz w:val="22"/>
          <w:szCs w:val="22"/>
        </w:rPr>
        <w:t>ion</w:t>
      </w:r>
      <w:r w:rsidR="00133FB3" w:rsidRPr="008F3799">
        <w:rPr>
          <w:rFonts w:asciiTheme="majorHAnsi" w:hAnsiTheme="majorHAnsi"/>
          <w:w w:val="99"/>
          <w:sz w:val="22"/>
          <w:szCs w:val="22"/>
        </w:rPr>
        <w:t xml:space="preserve"> </w:t>
      </w:r>
      <w:r w:rsidRPr="008F3799">
        <w:rPr>
          <w:rFonts w:asciiTheme="majorHAnsi" w:hAnsiTheme="majorHAnsi"/>
          <w:sz w:val="22"/>
          <w:szCs w:val="22"/>
        </w:rPr>
        <w:t xml:space="preserve">service suppliers </w:t>
      </w:r>
      <w:r w:rsidR="004F43F4">
        <w:rPr>
          <w:rFonts w:asciiTheme="majorHAnsi" w:hAnsiTheme="majorHAnsi"/>
          <w:sz w:val="22"/>
          <w:szCs w:val="22"/>
        </w:rPr>
        <w:t>shall</w:t>
      </w:r>
      <w:r w:rsidRPr="008F3799">
        <w:rPr>
          <w:rFonts w:asciiTheme="majorHAnsi" w:hAnsiTheme="majorHAnsi"/>
          <w:sz w:val="22"/>
          <w:szCs w:val="22"/>
        </w:rPr>
        <w:t xml:space="preserve"> be maintained by the </w:t>
      </w:r>
      <w:r w:rsidR="00AE42E1">
        <w:rPr>
          <w:rFonts w:asciiTheme="majorHAnsi" w:hAnsiTheme="majorHAnsi"/>
          <w:sz w:val="22"/>
          <w:szCs w:val="22"/>
        </w:rPr>
        <w:t>forensic toxicology laboratory</w:t>
      </w:r>
      <w:r w:rsidRPr="008F3799">
        <w:rPr>
          <w:rFonts w:asciiTheme="majorHAnsi" w:hAnsiTheme="majorHAnsi"/>
          <w:sz w:val="22"/>
          <w:szCs w:val="22"/>
        </w:rPr>
        <w:t>. Equipment shall be calibrated</w:t>
      </w:r>
      <w:r w:rsidRPr="008F3799">
        <w:rPr>
          <w:rFonts w:asciiTheme="majorHAnsi" w:hAnsiTheme="majorHAnsi"/>
          <w:w w:val="99"/>
          <w:sz w:val="22"/>
          <w:szCs w:val="22"/>
        </w:rPr>
        <w:t xml:space="preserve"> </w:t>
      </w:r>
      <w:r w:rsidRPr="008F3799">
        <w:rPr>
          <w:rFonts w:asciiTheme="majorHAnsi" w:hAnsiTheme="majorHAnsi"/>
          <w:sz w:val="22"/>
          <w:szCs w:val="22"/>
        </w:rPr>
        <w:t>prior to use, and the laboratory shall have a procedure that includes the frequency of</w:t>
      </w:r>
      <w:r w:rsidRPr="008F3799">
        <w:rPr>
          <w:rFonts w:asciiTheme="majorHAnsi" w:hAnsiTheme="majorHAnsi"/>
          <w:w w:val="99"/>
          <w:sz w:val="22"/>
          <w:szCs w:val="22"/>
        </w:rPr>
        <w:t xml:space="preserve"> </w:t>
      </w:r>
      <w:r w:rsidRPr="008F3799">
        <w:rPr>
          <w:rFonts w:asciiTheme="majorHAnsi" w:hAnsiTheme="majorHAnsi"/>
          <w:sz w:val="22"/>
          <w:szCs w:val="22"/>
        </w:rPr>
        <w:t>calibration and acceptability/tolerance specifications. Calibration documentation shall include the date the calibration is performed, the calibration status and the date the</w:t>
      </w:r>
      <w:r w:rsidRPr="008F3799">
        <w:rPr>
          <w:rFonts w:asciiTheme="majorHAnsi" w:hAnsiTheme="majorHAnsi"/>
          <w:w w:val="99"/>
          <w:sz w:val="22"/>
          <w:szCs w:val="22"/>
        </w:rPr>
        <w:t xml:space="preserve"> </w:t>
      </w:r>
      <w:r w:rsidRPr="008F3799">
        <w:rPr>
          <w:rFonts w:asciiTheme="majorHAnsi" w:hAnsiTheme="majorHAnsi"/>
          <w:sz w:val="22"/>
          <w:szCs w:val="22"/>
        </w:rPr>
        <w:t>next calibration is due.</w:t>
      </w:r>
      <w:r w:rsidR="00170E6D">
        <w:rPr>
          <w:rFonts w:asciiTheme="majorHAnsi" w:hAnsiTheme="majorHAnsi"/>
          <w:sz w:val="22"/>
          <w:szCs w:val="22"/>
        </w:rPr>
        <w:t xml:space="preserve"> Equipment shall be calibrated at a point or within a range consistent with typical use.</w:t>
      </w:r>
    </w:p>
    <w:p w14:paraId="6B2D8E69" w14:textId="3D063CB5" w:rsidR="00537F01" w:rsidRDefault="00334E61">
      <w:pPr>
        <w:pStyle w:val="BodyText"/>
        <w:widowControl/>
        <w:spacing w:after="240"/>
        <w:ind w:left="0"/>
        <w:jc w:val="both"/>
        <w:rPr>
          <w:rFonts w:asciiTheme="majorHAnsi" w:hAnsiTheme="majorHAnsi"/>
          <w:sz w:val="22"/>
          <w:szCs w:val="22"/>
        </w:rPr>
      </w:pPr>
      <w:r w:rsidRPr="008F3799">
        <w:rPr>
          <w:rFonts w:asciiTheme="majorHAnsi" w:hAnsiTheme="majorHAnsi"/>
          <w:sz w:val="22"/>
          <w:szCs w:val="22"/>
        </w:rPr>
        <w:t xml:space="preserve">The </w:t>
      </w:r>
      <w:r w:rsidR="00AE42E1">
        <w:rPr>
          <w:rFonts w:asciiTheme="majorHAnsi" w:hAnsiTheme="majorHAnsi"/>
          <w:sz w:val="22"/>
          <w:szCs w:val="22"/>
        </w:rPr>
        <w:t>forensic toxicology laboratory</w:t>
      </w:r>
      <w:r w:rsidRPr="008F3799">
        <w:rPr>
          <w:rFonts w:asciiTheme="majorHAnsi" w:hAnsiTheme="majorHAnsi"/>
          <w:sz w:val="22"/>
          <w:szCs w:val="22"/>
        </w:rPr>
        <w:t xml:space="preserve"> shall evaluate whether intermediate checks of the calibration status are</w:t>
      </w:r>
      <w:r w:rsidRPr="008F3799">
        <w:rPr>
          <w:rFonts w:asciiTheme="majorHAnsi" w:hAnsiTheme="majorHAnsi"/>
          <w:w w:val="99"/>
          <w:sz w:val="22"/>
          <w:szCs w:val="22"/>
        </w:rPr>
        <w:t xml:space="preserve"> </w:t>
      </w:r>
      <w:r w:rsidRPr="008F3799">
        <w:rPr>
          <w:rFonts w:asciiTheme="majorHAnsi" w:hAnsiTheme="majorHAnsi"/>
          <w:sz w:val="22"/>
          <w:szCs w:val="22"/>
        </w:rPr>
        <w:t>necessary based on</w:t>
      </w:r>
      <w:r w:rsidR="008868E7">
        <w:rPr>
          <w:rFonts w:asciiTheme="majorHAnsi" w:hAnsiTheme="majorHAnsi"/>
          <w:sz w:val="22"/>
          <w:szCs w:val="22"/>
        </w:rPr>
        <w:t>, but not limited to,</w:t>
      </w:r>
      <w:r w:rsidRPr="008F3799">
        <w:rPr>
          <w:rFonts w:asciiTheme="majorHAnsi" w:hAnsiTheme="majorHAnsi"/>
          <w:sz w:val="22"/>
          <w:szCs w:val="22"/>
        </w:rPr>
        <w:t xml:space="preserve"> the frequency of use, work volume, occurrence of unexpected</w:t>
      </w:r>
      <w:r w:rsidRPr="008F3799">
        <w:rPr>
          <w:rFonts w:asciiTheme="majorHAnsi" w:hAnsiTheme="majorHAnsi"/>
          <w:w w:val="99"/>
          <w:sz w:val="22"/>
          <w:szCs w:val="22"/>
        </w:rPr>
        <w:t xml:space="preserve"> </w:t>
      </w:r>
      <w:r w:rsidRPr="008F3799">
        <w:rPr>
          <w:rFonts w:asciiTheme="majorHAnsi" w:hAnsiTheme="majorHAnsi"/>
          <w:sz w:val="22"/>
          <w:szCs w:val="22"/>
        </w:rPr>
        <w:t xml:space="preserve">shutdown </w:t>
      </w:r>
      <w:r w:rsidR="008868E7">
        <w:rPr>
          <w:rFonts w:asciiTheme="majorHAnsi" w:hAnsiTheme="majorHAnsi"/>
          <w:sz w:val="22"/>
          <w:szCs w:val="22"/>
        </w:rPr>
        <w:t xml:space="preserve">and </w:t>
      </w:r>
      <w:r w:rsidRPr="008F3799">
        <w:rPr>
          <w:rFonts w:asciiTheme="majorHAnsi" w:hAnsiTheme="majorHAnsi"/>
          <w:sz w:val="22"/>
          <w:szCs w:val="22"/>
        </w:rPr>
        <w:t>equipment maintenance. If intermediate checks are</w:t>
      </w:r>
      <w:r w:rsidRPr="008F3799">
        <w:rPr>
          <w:rFonts w:asciiTheme="majorHAnsi" w:hAnsiTheme="majorHAnsi"/>
          <w:w w:val="99"/>
          <w:sz w:val="22"/>
          <w:szCs w:val="22"/>
        </w:rPr>
        <w:t xml:space="preserve"> </w:t>
      </w:r>
      <w:r w:rsidRPr="008F3799">
        <w:rPr>
          <w:rFonts w:asciiTheme="majorHAnsi" w:hAnsiTheme="majorHAnsi"/>
          <w:sz w:val="22"/>
          <w:szCs w:val="22"/>
        </w:rPr>
        <w:t>performed, the policy and procedure shall include the frequency and specifications for</w:t>
      </w:r>
      <w:r w:rsidRPr="008F3799">
        <w:rPr>
          <w:rFonts w:asciiTheme="majorHAnsi" w:hAnsiTheme="majorHAnsi"/>
          <w:w w:val="99"/>
          <w:sz w:val="22"/>
          <w:szCs w:val="22"/>
        </w:rPr>
        <w:t xml:space="preserve"> </w:t>
      </w:r>
      <w:r w:rsidRPr="008F3799">
        <w:rPr>
          <w:rFonts w:asciiTheme="majorHAnsi" w:hAnsiTheme="majorHAnsi"/>
          <w:sz w:val="22"/>
          <w:szCs w:val="22"/>
        </w:rPr>
        <w:t>intermediate checks</w:t>
      </w:r>
      <w:r w:rsidR="00610510">
        <w:rPr>
          <w:rFonts w:asciiTheme="majorHAnsi" w:hAnsiTheme="majorHAnsi"/>
          <w:sz w:val="22"/>
          <w:szCs w:val="22"/>
        </w:rPr>
        <w:t xml:space="preserve"> </w:t>
      </w:r>
      <w:r w:rsidR="00610510" w:rsidRPr="00610510">
        <w:rPr>
          <w:rFonts w:asciiTheme="majorHAnsi" w:hAnsiTheme="majorHAnsi"/>
          <w:sz w:val="22"/>
          <w:szCs w:val="22"/>
        </w:rPr>
        <w:t>and actions to be taken when the specifications are not met.  Intermediate check</w:t>
      </w:r>
      <w:r w:rsidR="00610510">
        <w:rPr>
          <w:rFonts w:asciiTheme="majorHAnsi" w:hAnsiTheme="majorHAnsi"/>
          <w:sz w:val="22"/>
          <w:szCs w:val="22"/>
        </w:rPr>
        <w:t>s</w:t>
      </w:r>
      <w:r w:rsidRPr="008F3799">
        <w:rPr>
          <w:rFonts w:asciiTheme="majorHAnsi" w:hAnsiTheme="majorHAnsi"/>
          <w:sz w:val="22"/>
          <w:szCs w:val="22"/>
        </w:rPr>
        <w:t xml:space="preserve"> </w:t>
      </w:r>
      <w:r w:rsidR="00D00C1F">
        <w:rPr>
          <w:rFonts w:asciiTheme="majorHAnsi" w:hAnsiTheme="majorHAnsi"/>
          <w:sz w:val="22"/>
          <w:szCs w:val="22"/>
        </w:rPr>
        <w:t>shall</w:t>
      </w:r>
      <w:r w:rsidR="00D00C1F" w:rsidRPr="008F3799">
        <w:rPr>
          <w:rFonts w:asciiTheme="majorHAnsi" w:hAnsiTheme="majorHAnsi"/>
          <w:sz w:val="22"/>
          <w:szCs w:val="22"/>
        </w:rPr>
        <w:t xml:space="preserve"> </w:t>
      </w:r>
      <w:r w:rsidRPr="008F3799">
        <w:rPr>
          <w:rFonts w:asciiTheme="majorHAnsi" w:hAnsiTheme="majorHAnsi"/>
          <w:sz w:val="22"/>
          <w:szCs w:val="22"/>
        </w:rPr>
        <w:t>be carried out using calibrated equipment (e.g.</w:t>
      </w:r>
      <w:r w:rsidR="008868E7">
        <w:rPr>
          <w:rFonts w:asciiTheme="majorHAnsi" w:hAnsiTheme="majorHAnsi"/>
          <w:sz w:val="22"/>
          <w:szCs w:val="22"/>
        </w:rPr>
        <w:t>,</w:t>
      </w:r>
      <w:r w:rsidRPr="008F3799">
        <w:rPr>
          <w:rFonts w:asciiTheme="majorHAnsi" w:hAnsiTheme="majorHAnsi"/>
          <w:sz w:val="22"/>
          <w:szCs w:val="22"/>
        </w:rPr>
        <w:t xml:space="preserve"> mass reference standards, equipment used to monitor environmental conditions).</w:t>
      </w:r>
    </w:p>
    <w:p w14:paraId="71272802" w14:textId="2F013334" w:rsidR="009D56CE" w:rsidRPr="009457C5" w:rsidRDefault="003C1B95" w:rsidP="00C126AF">
      <w:pPr>
        <w:keepNext/>
        <w:widowControl/>
        <w:numPr>
          <w:ilvl w:val="1"/>
          <w:numId w:val="17"/>
        </w:numPr>
        <w:tabs>
          <w:tab w:val="left" w:pos="540"/>
        </w:tabs>
        <w:spacing w:after="240"/>
        <w:ind w:left="0" w:firstLine="0"/>
        <w:jc w:val="both"/>
        <w:rPr>
          <w:rFonts w:asciiTheme="majorHAnsi" w:eastAsia="Cambria" w:hAnsiTheme="majorHAnsi" w:cs="Cambria"/>
        </w:rPr>
      </w:pPr>
      <w:r>
        <w:rPr>
          <w:rFonts w:asciiTheme="majorHAnsi" w:hAnsiTheme="majorHAnsi"/>
          <w:b/>
        </w:rPr>
        <w:t>Calibration of A</w:t>
      </w:r>
      <w:r w:rsidR="009D56CE">
        <w:rPr>
          <w:rFonts w:asciiTheme="majorHAnsi" w:hAnsiTheme="majorHAnsi"/>
          <w:b/>
        </w:rPr>
        <w:t xml:space="preserve">nalytical Equipment </w:t>
      </w:r>
    </w:p>
    <w:p w14:paraId="0636C1FA" w14:textId="5C162117" w:rsidR="00C25CDE" w:rsidRPr="008F3799" w:rsidRDefault="009D56CE" w:rsidP="007D4F85">
      <w:pPr>
        <w:keepNext/>
        <w:widowControl/>
        <w:numPr>
          <w:ilvl w:val="2"/>
          <w:numId w:val="17"/>
        </w:numPr>
        <w:tabs>
          <w:tab w:val="left" w:pos="720"/>
        </w:tabs>
        <w:spacing w:after="240"/>
        <w:jc w:val="both"/>
        <w:rPr>
          <w:rFonts w:asciiTheme="majorHAnsi" w:eastAsia="Cambria" w:hAnsiTheme="majorHAnsi" w:cs="Cambria"/>
        </w:rPr>
      </w:pPr>
      <w:r>
        <w:rPr>
          <w:rFonts w:asciiTheme="majorHAnsi" w:hAnsiTheme="majorHAnsi"/>
          <w:b/>
        </w:rPr>
        <w:t>Analytical Balances</w:t>
      </w:r>
    </w:p>
    <w:p w14:paraId="7DBC4100" w14:textId="77777777" w:rsidR="00537F01" w:rsidRPr="008F3799" w:rsidRDefault="00334E61">
      <w:pPr>
        <w:pStyle w:val="BodyText"/>
        <w:widowControl/>
        <w:spacing w:after="240"/>
        <w:ind w:left="0"/>
        <w:jc w:val="both"/>
        <w:rPr>
          <w:rFonts w:asciiTheme="majorHAnsi" w:hAnsiTheme="majorHAnsi"/>
          <w:sz w:val="22"/>
          <w:szCs w:val="22"/>
        </w:rPr>
      </w:pPr>
      <w:r w:rsidRPr="008F3799">
        <w:rPr>
          <w:rFonts w:asciiTheme="majorHAnsi" w:hAnsiTheme="majorHAnsi"/>
          <w:sz w:val="22"/>
          <w:szCs w:val="22"/>
        </w:rPr>
        <w:t>Analytical balances shall be calibrated at least annually by an appropriately accredited calibration service supplier.</w:t>
      </w:r>
      <w:r w:rsidR="00170E6D">
        <w:rPr>
          <w:rFonts w:asciiTheme="majorHAnsi" w:hAnsiTheme="majorHAnsi"/>
          <w:sz w:val="22"/>
          <w:szCs w:val="22"/>
        </w:rPr>
        <w:t xml:space="preserve">  </w:t>
      </w:r>
    </w:p>
    <w:p w14:paraId="3A168B25" w14:textId="77777777" w:rsidR="00537F01" w:rsidRPr="008F3799" w:rsidRDefault="00C126AF" w:rsidP="007D4F85">
      <w:pPr>
        <w:widowControl/>
        <w:numPr>
          <w:ilvl w:val="2"/>
          <w:numId w:val="17"/>
        </w:numPr>
        <w:spacing w:after="240"/>
        <w:jc w:val="both"/>
        <w:rPr>
          <w:rFonts w:asciiTheme="majorHAnsi" w:eastAsia="Cambria" w:hAnsiTheme="majorHAnsi" w:cs="Cambria"/>
        </w:rPr>
      </w:pPr>
      <w:r>
        <w:rPr>
          <w:rFonts w:asciiTheme="majorHAnsi" w:hAnsiTheme="majorHAnsi"/>
          <w:b/>
        </w:rPr>
        <w:t>Reference S</w:t>
      </w:r>
      <w:r w:rsidR="00334E61" w:rsidRPr="008F3799">
        <w:rPr>
          <w:rFonts w:asciiTheme="majorHAnsi" w:hAnsiTheme="majorHAnsi"/>
          <w:b/>
        </w:rPr>
        <w:t>tandards</w:t>
      </w:r>
    </w:p>
    <w:p w14:paraId="0DE4E4E2" w14:textId="7160A87C" w:rsidR="00537F01" w:rsidRPr="008F3799" w:rsidRDefault="003967ED">
      <w:pPr>
        <w:pStyle w:val="BodyText"/>
        <w:widowControl/>
        <w:spacing w:after="240"/>
        <w:ind w:left="0"/>
        <w:jc w:val="both"/>
        <w:rPr>
          <w:rFonts w:asciiTheme="majorHAnsi" w:hAnsiTheme="majorHAnsi"/>
          <w:sz w:val="22"/>
          <w:szCs w:val="22"/>
        </w:rPr>
      </w:pPr>
      <w:r>
        <w:rPr>
          <w:rFonts w:asciiTheme="majorHAnsi" w:hAnsiTheme="majorHAnsi"/>
          <w:sz w:val="22"/>
          <w:szCs w:val="22"/>
        </w:rPr>
        <w:t>R</w:t>
      </w:r>
      <w:r w:rsidR="00334E61" w:rsidRPr="008F3799">
        <w:rPr>
          <w:rFonts w:asciiTheme="majorHAnsi" w:hAnsiTheme="majorHAnsi"/>
          <w:sz w:val="22"/>
          <w:szCs w:val="22"/>
        </w:rPr>
        <w:t xml:space="preserve">eference standards </w:t>
      </w:r>
      <w:r>
        <w:rPr>
          <w:rFonts w:asciiTheme="majorHAnsi" w:hAnsiTheme="majorHAnsi"/>
          <w:sz w:val="22"/>
          <w:szCs w:val="22"/>
        </w:rPr>
        <w:t xml:space="preserve">(e.g., calipers, rulers, mass reference standards) </w:t>
      </w:r>
      <w:r w:rsidR="00334E61" w:rsidRPr="008F3799">
        <w:rPr>
          <w:rFonts w:asciiTheme="majorHAnsi" w:hAnsiTheme="majorHAnsi"/>
          <w:sz w:val="22"/>
          <w:szCs w:val="22"/>
        </w:rPr>
        <w:t>shall be calibrated at least once every three years by</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an appropriately accredited calibration service supplier. Any adjustments of</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 xml:space="preserve">reference standards shall only be conducted by an </w:t>
      </w:r>
      <w:r w:rsidR="003358C8">
        <w:rPr>
          <w:rFonts w:asciiTheme="majorHAnsi" w:hAnsiTheme="majorHAnsi"/>
          <w:sz w:val="22"/>
          <w:szCs w:val="22"/>
        </w:rPr>
        <w:t xml:space="preserve">accredited </w:t>
      </w:r>
      <w:r w:rsidR="00334E61" w:rsidRPr="008F3799">
        <w:rPr>
          <w:rFonts w:asciiTheme="majorHAnsi" w:hAnsiTheme="majorHAnsi"/>
          <w:sz w:val="22"/>
          <w:szCs w:val="22"/>
        </w:rPr>
        <w:t>calibration</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service supplier, and the reference standards shall be calibrated before and after</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 xml:space="preserve">any adjustment. </w:t>
      </w:r>
      <w:r>
        <w:rPr>
          <w:rFonts w:asciiTheme="majorHAnsi" w:hAnsiTheme="majorHAnsi"/>
          <w:sz w:val="22"/>
          <w:szCs w:val="22"/>
        </w:rPr>
        <w:t>R</w:t>
      </w:r>
      <w:r w:rsidR="00334E61" w:rsidRPr="008F3799">
        <w:rPr>
          <w:rFonts w:asciiTheme="majorHAnsi" w:hAnsiTheme="majorHAnsi"/>
          <w:sz w:val="22"/>
          <w:szCs w:val="22"/>
        </w:rPr>
        <w:t>eference standards used to verify the accuracy of</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 xml:space="preserve">equipment shall be dedicated for this purpose, unless the </w:t>
      </w:r>
      <w:r w:rsidR="00AE42E1">
        <w:rPr>
          <w:rFonts w:asciiTheme="majorHAnsi" w:hAnsiTheme="majorHAnsi"/>
          <w:sz w:val="22"/>
          <w:szCs w:val="22"/>
        </w:rPr>
        <w:t>forensic toxicology laboratory</w:t>
      </w:r>
      <w:r w:rsidR="00334E61" w:rsidRPr="008F3799">
        <w:rPr>
          <w:rFonts w:asciiTheme="majorHAnsi" w:hAnsiTheme="majorHAnsi"/>
          <w:sz w:val="22"/>
          <w:szCs w:val="22"/>
        </w:rPr>
        <w:t xml:space="preserve"> has</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demonstrated that their integrity as reference standards are maintained.</w:t>
      </w:r>
    </w:p>
    <w:p w14:paraId="212D6ECC" w14:textId="77777777" w:rsidR="00537F01" w:rsidRPr="008F3799" w:rsidRDefault="00334E61" w:rsidP="007D4F85">
      <w:pPr>
        <w:widowControl/>
        <w:numPr>
          <w:ilvl w:val="2"/>
          <w:numId w:val="17"/>
        </w:numPr>
        <w:tabs>
          <w:tab w:val="left" w:pos="720"/>
        </w:tabs>
        <w:spacing w:after="240"/>
        <w:jc w:val="both"/>
        <w:rPr>
          <w:rFonts w:asciiTheme="majorHAnsi" w:eastAsia="Cambria" w:hAnsiTheme="majorHAnsi" w:cs="Cambria"/>
        </w:rPr>
      </w:pPr>
      <w:r w:rsidRPr="008F3799">
        <w:rPr>
          <w:rFonts w:asciiTheme="majorHAnsi" w:hAnsiTheme="majorHAnsi"/>
          <w:b/>
        </w:rPr>
        <w:t>Volumet</w:t>
      </w:r>
      <w:r w:rsidR="00C126AF">
        <w:rPr>
          <w:rFonts w:asciiTheme="majorHAnsi" w:hAnsiTheme="majorHAnsi"/>
          <w:b/>
        </w:rPr>
        <w:t>ric G</w:t>
      </w:r>
      <w:r w:rsidRPr="008F3799">
        <w:rPr>
          <w:rFonts w:asciiTheme="majorHAnsi" w:hAnsiTheme="majorHAnsi"/>
          <w:b/>
        </w:rPr>
        <w:t>lassware</w:t>
      </w:r>
    </w:p>
    <w:p w14:paraId="67004087" w14:textId="13AACD04" w:rsidR="00537F01" w:rsidRPr="008F3799" w:rsidRDefault="00397C0D">
      <w:pPr>
        <w:pStyle w:val="BodyText"/>
        <w:widowControl/>
        <w:spacing w:after="240"/>
        <w:ind w:left="0"/>
        <w:jc w:val="both"/>
        <w:rPr>
          <w:rFonts w:asciiTheme="majorHAnsi" w:hAnsiTheme="majorHAnsi"/>
          <w:sz w:val="22"/>
          <w:szCs w:val="22"/>
        </w:rPr>
      </w:pPr>
      <w:r>
        <w:rPr>
          <w:rFonts w:asciiTheme="majorHAnsi" w:hAnsiTheme="majorHAnsi"/>
          <w:sz w:val="22"/>
          <w:szCs w:val="22"/>
        </w:rPr>
        <w:t>Class A v</w:t>
      </w:r>
      <w:r w:rsidR="00334E61" w:rsidRPr="008F3799">
        <w:rPr>
          <w:rFonts w:asciiTheme="majorHAnsi" w:hAnsiTheme="majorHAnsi"/>
          <w:sz w:val="22"/>
          <w:szCs w:val="22"/>
        </w:rPr>
        <w:t xml:space="preserve">olumetric glassware </w:t>
      </w:r>
      <w:r>
        <w:rPr>
          <w:rFonts w:asciiTheme="majorHAnsi" w:hAnsiTheme="majorHAnsi"/>
          <w:sz w:val="22"/>
          <w:szCs w:val="22"/>
        </w:rPr>
        <w:t xml:space="preserve">shall be </w:t>
      </w:r>
      <w:r w:rsidR="00334E61" w:rsidRPr="008F3799">
        <w:rPr>
          <w:rFonts w:asciiTheme="majorHAnsi" w:hAnsiTheme="majorHAnsi"/>
          <w:sz w:val="22"/>
          <w:szCs w:val="22"/>
        </w:rPr>
        <w:t xml:space="preserve">used for the preparation of calibrators </w:t>
      </w:r>
      <w:r>
        <w:rPr>
          <w:rFonts w:asciiTheme="majorHAnsi" w:hAnsiTheme="majorHAnsi"/>
          <w:sz w:val="22"/>
          <w:szCs w:val="22"/>
        </w:rPr>
        <w:t>and</w:t>
      </w:r>
      <w:r w:rsidR="00334E61" w:rsidRPr="008F3799">
        <w:rPr>
          <w:rFonts w:asciiTheme="majorHAnsi" w:hAnsiTheme="majorHAnsi"/>
          <w:sz w:val="22"/>
          <w:szCs w:val="22"/>
        </w:rPr>
        <w:t xml:space="preserve"> shall be calibrated by an </w:t>
      </w:r>
      <w:r w:rsidR="003358C8">
        <w:rPr>
          <w:rFonts w:asciiTheme="majorHAnsi" w:hAnsiTheme="majorHAnsi"/>
          <w:sz w:val="22"/>
          <w:szCs w:val="22"/>
        </w:rPr>
        <w:t xml:space="preserve">accredited </w:t>
      </w:r>
      <w:r w:rsidR="00334E61" w:rsidRPr="008F3799">
        <w:rPr>
          <w:rFonts w:asciiTheme="majorHAnsi" w:hAnsiTheme="majorHAnsi"/>
          <w:sz w:val="22"/>
          <w:szCs w:val="22"/>
        </w:rPr>
        <w:t>calibration service</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supplier prior to use. Volumetric glassware used in the preparation of</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 xml:space="preserve">calibrators shall be dedicated for this purpose, and shall </w:t>
      </w:r>
      <w:r w:rsidR="00524571" w:rsidRPr="008F3799">
        <w:rPr>
          <w:rFonts w:asciiTheme="majorHAnsi" w:hAnsiTheme="majorHAnsi"/>
          <w:sz w:val="22"/>
          <w:szCs w:val="22"/>
        </w:rPr>
        <w:t>be maintained</w:t>
      </w:r>
      <w:r w:rsidR="00334E61" w:rsidRPr="008F3799">
        <w:rPr>
          <w:rFonts w:asciiTheme="majorHAnsi" w:hAnsiTheme="majorHAnsi"/>
          <w:sz w:val="22"/>
          <w:szCs w:val="22"/>
        </w:rPr>
        <w:t xml:space="preserve"> and</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stored as to protect its integrity.</w:t>
      </w:r>
      <w:r w:rsidR="00FC14FA" w:rsidRPr="008F3799">
        <w:rPr>
          <w:rFonts w:asciiTheme="majorHAnsi" w:hAnsiTheme="majorHAnsi"/>
          <w:sz w:val="22"/>
          <w:szCs w:val="22"/>
        </w:rPr>
        <w:t xml:space="preserve"> </w:t>
      </w:r>
      <w:r w:rsidR="00334E61" w:rsidRPr="008F3799">
        <w:rPr>
          <w:rFonts w:asciiTheme="majorHAnsi" w:hAnsiTheme="majorHAnsi"/>
          <w:sz w:val="22"/>
          <w:szCs w:val="22"/>
        </w:rPr>
        <w:t xml:space="preserve">After initial calibration, scheduled </w:t>
      </w:r>
      <w:r>
        <w:rPr>
          <w:rFonts w:asciiTheme="majorHAnsi" w:hAnsiTheme="majorHAnsi"/>
          <w:sz w:val="22"/>
          <w:szCs w:val="22"/>
        </w:rPr>
        <w:t>re</w:t>
      </w:r>
      <w:r w:rsidR="00334E61" w:rsidRPr="008F3799">
        <w:rPr>
          <w:rFonts w:asciiTheme="majorHAnsi" w:hAnsiTheme="majorHAnsi"/>
          <w:sz w:val="22"/>
          <w:szCs w:val="22"/>
        </w:rPr>
        <w:t xml:space="preserve">calibration </w:t>
      </w:r>
      <w:r w:rsidRPr="008F3799">
        <w:rPr>
          <w:rFonts w:asciiTheme="majorHAnsi" w:hAnsiTheme="majorHAnsi"/>
          <w:sz w:val="22"/>
          <w:szCs w:val="22"/>
        </w:rPr>
        <w:t xml:space="preserve">shall </w:t>
      </w:r>
      <w:r>
        <w:rPr>
          <w:rFonts w:asciiTheme="majorHAnsi" w:hAnsiTheme="majorHAnsi"/>
          <w:sz w:val="22"/>
          <w:szCs w:val="22"/>
        </w:rPr>
        <w:t>recur</w:t>
      </w:r>
      <w:r w:rsidRPr="008F3799">
        <w:rPr>
          <w:rFonts w:asciiTheme="majorHAnsi" w:hAnsiTheme="majorHAnsi"/>
          <w:sz w:val="22"/>
          <w:szCs w:val="22"/>
        </w:rPr>
        <w:t xml:space="preserve"> at least once every </w:t>
      </w:r>
      <w:r w:rsidR="003F3BCC">
        <w:rPr>
          <w:rFonts w:asciiTheme="majorHAnsi" w:hAnsiTheme="majorHAnsi"/>
          <w:sz w:val="22"/>
          <w:szCs w:val="22"/>
        </w:rPr>
        <w:t>ten</w:t>
      </w:r>
      <w:r w:rsidRPr="008F3799">
        <w:rPr>
          <w:rFonts w:asciiTheme="majorHAnsi" w:hAnsiTheme="majorHAnsi"/>
          <w:sz w:val="22"/>
          <w:szCs w:val="22"/>
        </w:rPr>
        <w:t xml:space="preserve"> years by</w:t>
      </w:r>
      <w:r w:rsidRPr="008F3799">
        <w:rPr>
          <w:rFonts w:asciiTheme="majorHAnsi" w:hAnsiTheme="majorHAnsi"/>
          <w:w w:val="99"/>
          <w:sz w:val="22"/>
          <w:szCs w:val="22"/>
        </w:rPr>
        <w:t xml:space="preserve"> </w:t>
      </w:r>
      <w:r w:rsidRPr="008F3799">
        <w:rPr>
          <w:rFonts w:asciiTheme="majorHAnsi" w:hAnsiTheme="majorHAnsi"/>
          <w:sz w:val="22"/>
          <w:szCs w:val="22"/>
        </w:rPr>
        <w:t>an appropriately accredited calibration service supplier</w:t>
      </w:r>
      <w:r w:rsidR="00334E61" w:rsidRPr="008F3799">
        <w:rPr>
          <w:rFonts w:asciiTheme="majorHAnsi" w:hAnsiTheme="majorHAnsi"/>
          <w:sz w:val="22"/>
          <w:szCs w:val="22"/>
        </w:rPr>
        <w:t>.</w:t>
      </w:r>
    </w:p>
    <w:p w14:paraId="0FB872A2" w14:textId="5F23B938" w:rsidR="00537F01" w:rsidRPr="009457C5" w:rsidRDefault="00334E61" w:rsidP="007D4F85">
      <w:pPr>
        <w:widowControl/>
        <w:numPr>
          <w:ilvl w:val="2"/>
          <w:numId w:val="17"/>
        </w:numPr>
        <w:tabs>
          <w:tab w:val="left" w:pos="720"/>
        </w:tabs>
        <w:spacing w:after="240"/>
        <w:jc w:val="both"/>
        <w:rPr>
          <w:rFonts w:asciiTheme="majorHAnsi" w:eastAsia="Cambria" w:hAnsiTheme="majorHAnsi" w:cs="Cambria"/>
        </w:rPr>
      </w:pPr>
      <w:r w:rsidRPr="008F3799">
        <w:rPr>
          <w:rFonts w:asciiTheme="majorHAnsi" w:hAnsiTheme="majorHAnsi"/>
          <w:b/>
        </w:rPr>
        <w:t>Pipettes, Diluters</w:t>
      </w:r>
      <w:r w:rsidR="00C126AF">
        <w:rPr>
          <w:rFonts w:asciiTheme="majorHAnsi" w:hAnsiTheme="majorHAnsi"/>
          <w:b/>
        </w:rPr>
        <w:t>,</w:t>
      </w:r>
      <w:r w:rsidRPr="008F3799">
        <w:rPr>
          <w:rFonts w:asciiTheme="majorHAnsi" w:hAnsiTheme="majorHAnsi"/>
          <w:b/>
        </w:rPr>
        <w:t xml:space="preserve"> and Syringes</w:t>
      </w:r>
    </w:p>
    <w:p w14:paraId="7885810B" w14:textId="024D67E0" w:rsidR="00CA1B28" w:rsidRPr="009457C5" w:rsidRDefault="00CA1B28" w:rsidP="009457C5">
      <w:pPr>
        <w:widowControl/>
        <w:tabs>
          <w:tab w:val="left" w:pos="540"/>
        </w:tabs>
        <w:spacing w:after="240"/>
        <w:jc w:val="both"/>
        <w:rPr>
          <w:rFonts w:asciiTheme="majorHAnsi" w:eastAsia="Cambria" w:hAnsiTheme="majorHAnsi" w:cs="Cambria"/>
        </w:rPr>
      </w:pPr>
      <w:r w:rsidRPr="008F3799">
        <w:rPr>
          <w:rFonts w:asciiTheme="majorHAnsi" w:hAnsiTheme="majorHAnsi"/>
        </w:rPr>
        <w:t>All pipettes, pipette diluters, automatic diluters, and syringes used for the</w:t>
      </w:r>
      <w:r w:rsidRPr="008F3799">
        <w:rPr>
          <w:rFonts w:asciiTheme="majorHAnsi" w:hAnsiTheme="majorHAnsi"/>
          <w:w w:val="99"/>
        </w:rPr>
        <w:t xml:space="preserve"> </w:t>
      </w:r>
      <w:r w:rsidRPr="008F3799">
        <w:rPr>
          <w:rFonts w:asciiTheme="majorHAnsi" w:hAnsiTheme="majorHAnsi"/>
        </w:rPr>
        <w:t>preparation of calibrator solutions that require measurement traceability or in</w:t>
      </w:r>
      <w:r w:rsidRPr="008F3799">
        <w:rPr>
          <w:rFonts w:asciiTheme="majorHAnsi" w:hAnsiTheme="majorHAnsi"/>
          <w:w w:val="99"/>
        </w:rPr>
        <w:t xml:space="preserve"> </w:t>
      </w:r>
      <w:r w:rsidRPr="008F3799">
        <w:rPr>
          <w:rFonts w:asciiTheme="majorHAnsi" w:hAnsiTheme="majorHAnsi"/>
        </w:rPr>
        <w:t xml:space="preserve">sample preparation (e.g. </w:t>
      </w:r>
      <w:r>
        <w:rPr>
          <w:rFonts w:asciiTheme="majorHAnsi" w:hAnsiTheme="majorHAnsi"/>
        </w:rPr>
        <w:t xml:space="preserve">sample aliquoting and </w:t>
      </w:r>
      <w:r>
        <w:rPr>
          <w:rFonts w:asciiTheme="majorHAnsi" w:hAnsiTheme="majorHAnsi"/>
        </w:rPr>
        <w:lastRenderedPageBreak/>
        <w:t xml:space="preserve">other </w:t>
      </w:r>
      <w:r w:rsidRPr="008F3799">
        <w:rPr>
          <w:rFonts w:asciiTheme="majorHAnsi" w:hAnsiTheme="majorHAnsi"/>
        </w:rPr>
        <w:t>steps that affect overall measurement uncertainty) shall be calibrated at least annually by an appropriately accredited</w:t>
      </w:r>
      <w:r w:rsidRPr="008F3799">
        <w:rPr>
          <w:rFonts w:asciiTheme="majorHAnsi" w:hAnsiTheme="majorHAnsi"/>
          <w:w w:val="99"/>
        </w:rPr>
        <w:t xml:space="preserve"> </w:t>
      </w:r>
      <w:r w:rsidRPr="008F3799">
        <w:rPr>
          <w:rFonts w:asciiTheme="majorHAnsi" w:hAnsiTheme="majorHAnsi"/>
        </w:rPr>
        <w:t>calibration service supplier. Autosampler syringes used for sample introduction to analytical instrumentation (</w:t>
      </w:r>
      <w:r>
        <w:rPr>
          <w:rFonts w:asciiTheme="majorHAnsi" w:hAnsiTheme="majorHAnsi"/>
        </w:rPr>
        <w:t xml:space="preserve">e.g., </w:t>
      </w:r>
      <w:r w:rsidRPr="008F3799">
        <w:rPr>
          <w:rFonts w:asciiTheme="majorHAnsi" w:hAnsiTheme="majorHAnsi"/>
        </w:rPr>
        <w:t>gas chromatograph, liquid</w:t>
      </w:r>
      <w:r w:rsidRPr="008F3799">
        <w:rPr>
          <w:rFonts w:asciiTheme="majorHAnsi" w:hAnsiTheme="majorHAnsi"/>
          <w:w w:val="99"/>
        </w:rPr>
        <w:t xml:space="preserve"> </w:t>
      </w:r>
      <w:r w:rsidRPr="008F3799">
        <w:rPr>
          <w:rFonts w:asciiTheme="majorHAnsi" w:hAnsiTheme="majorHAnsi"/>
        </w:rPr>
        <w:t xml:space="preserve">chromatograph, </w:t>
      </w:r>
      <w:r>
        <w:rPr>
          <w:rFonts w:asciiTheme="majorHAnsi" w:hAnsiTheme="majorHAnsi"/>
        </w:rPr>
        <w:t xml:space="preserve">or </w:t>
      </w:r>
      <w:r w:rsidRPr="008F3799">
        <w:rPr>
          <w:rFonts w:asciiTheme="majorHAnsi" w:hAnsiTheme="majorHAnsi"/>
        </w:rPr>
        <w:t>immunoassay) do not require calibration.</w:t>
      </w:r>
    </w:p>
    <w:p w14:paraId="5A2B75E1" w14:textId="6F56FE97" w:rsidR="00CA1B28" w:rsidRPr="008F3799" w:rsidRDefault="00CA1B28" w:rsidP="007D4F85">
      <w:pPr>
        <w:widowControl/>
        <w:numPr>
          <w:ilvl w:val="2"/>
          <w:numId w:val="17"/>
        </w:numPr>
        <w:tabs>
          <w:tab w:val="left" w:pos="720"/>
        </w:tabs>
        <w:spacing w:after="240"/>
        <w:jc w:val="both"/>
        <w:rPr>
          <w:rFonts w:asciiTheme="majorHAnsi" w:eastAsia="Cambria" w:hAnsiTheme="majorHAnsi" w:cs="Cambria"/>
        </w:rPr>
      </w:pPr>
      <w:r>
        <w:rPr>
          <w:rFonts w:asciiTheme="majorHAnsi" w:eastAsia="Cambria" w:hAnsiTheme="majorHAnsi" w:cs="Cambria"/>
          <w:b/>
        </w:rPr>
        <w:t>Thermometers</w:t>
      </w:r>
    </w:p>
    <w:p w14:paraId="24A686B3" w14:textId="7F67A30F" w:rsidR="00537F01" w:rsidRPr="007D4F85" w:rsidRDefault="00CA1B28" w:rsidP="007D4F85">
      <w:pPr>
        <w:widowControl/>
        <w:tabs>
          <w:tab w:val="left" w:pos="540"/>
        </w:tabs>
        <w:spacing w:after="240"/>
        <w:jc w:val="both"/>
        <w:rPr>
          <w:rFonts w:asciiTheme="majorHAnsi" w:eastAsia="Cambria" w:hAnsiTheme="majorHAnsi" w:cs="Cambria"/>
        </w:rPr>
      </w:pPr>
      <w:r>
        <w:rPr>
          <w:rFonts w:asciiTheme="majorHAnsi" w:hAnsiTheme="majorHAnsi"/>
        </w:rPr>
        <w:t xml:space="preserve">Thermometers used to verify proper storage of certified reference materials </w:t>
      </w:r>
      <w:r w:rsidRPr="008F3799">
        <w:rPr>
          <w:rFonts w:asciiTheme="majorHAnsi" w:hAnsiTheme="majorHAnsi"/>
        </w:rPr>
        <w:t xml:space="preserve">shall be calibrated at least </w:t>
      </w:r>
      <w:r w:rsidR="00632F55">
        <w:rPr>
          <w:rFonts w:asciiTheme="majorHAnsi" w:hAnsiTheme="majorHAnsi"/>
        </w:rPr>
        <w:t>every two years</w:t>
      </w:r>
      <w:r w:rsidRPr="008F3799">
        <w:rPr>
          <w:rFonts w:asciiTheme="majorHAnsi" w:hAnsiTheme="majorHAnsi"/>
        </w:rPr>
        <w:t xml:space="preserve"> by an appropriately accredited</w:t>
      </w:r>
      <w:r w:rsidRPr="008F3799">
        <w:rPr>
          <w:rFonts w:asciiTheme="majorHAnsi" w:hAnsiTheme="majorHAnsi"/>
          <w:w w:val="99"/>
        </w:rPr>
        <w:t xml:space="preserve"> </w:t>
      </w:r>
      <w:r w:rsidRPr="008F3799">
        <w:rPr>
          <w:rFonts w:asciiTheme="majorHAnsi" w:hAnsiTheme="majorHAnsi"/>
        </w:rPr>
        <w:t>calibration service supplier.</w:t>
      </w:r>
      <w:r w:rsidR="00632F55">
        <w:rPr>
          <w:rFonts w:asciiTheme="majorHAnsi" w:hAnsiTheme="majorHAnsi"/>
        </w:rPr>
        <w:t xml:space="preserve"> </w:t>
      </w:r>
      <w:r>
        <w:rPr>
          <w:rFonts w:asciiTheme="majorHAnsi" w:hAnsiTheme="majorHAnsi"/>
        </w:rPr>
        <w:t xml:space="preserve">Other thermometers that do </w:t>
      </w:r>
      <w:r w:rsidRPr="008F3799">
        <w:rPr>
          <w:rFonts w:asciiTheme="majorHAnsi" w:hAnsiTheme="majorHAnsi"/>
        </w:rPr>
        <w:t xml:space="preserve">not significantly affect the accuracy and validity of the test result </w:t>
      </w:r>
      <w:r w:rsidR="00632F55">
        <w:rPr>
          <w:rFonts w:asciiTheme="majorHAnsi" w:hAnsiTheme="majorHAnsi"/>
        </w:rPr>
        <w:t xml:space="preserve">(e.g., thermometers used in water baths and heat blocks) </w:t>
      </w:r>
      <w:r w:rsidRPr="008F3799">
        <w:rPr>
          <w:rFonts w:asciiTheme="majorHAnsi" w:hAnsiTheme="majorHAnsi"/>
        </w:rPr>
        <w:t>do not require</w:t>
      </w:r>
      <w:r w:rsidRPr="008F3799">
        <w:rPr>
          <w:rFonts w:asciiTheme="majorHAnsi" w:hAnsiTheme="majorHAnsi"/>
          <w:w w:val="99"/>
        </w:rPr>
        <w:t xml:space="preserve"> </w:t>
      </w:r>
      <w:r w:rsidRPr="008F3799">
        <w:rPr>
          <w:rFonts w:asciiTheme="majorHAnsi" w:hAnsiTheme="majorHAnsi"/>
        </w:rPr>
        <w:t>calibration to establish measurement traceability.</w:t>
      </w:r>
    </w:p>
    <w:p w14:paraId="0D988994" w14:textId="50C23391" w:rsidR="007D4F85" w:rsidRPr="008F3799" w:rsidRDefault="007D4F85" w:rsidP="007D4F85">
      <w:pPr>
        <w:widowControl/>
        <w:numPr>
          <w:ilvl w:val="2"/>
          <w:numId w:val="17"/>
        </w:numPr>
        <w:tabs>
          <w:tab w:val="left" w:pos="720"/>
        </w:tabs>
        <w:spacing w:after="240"/>
        <w:jc w:val="both"/>
        <w:rPr>
          <w:rFonts w:asciiTheme="majorHAnsi" w:eastAsia="Cambria" w:hAnsiTheme="majorHAnsi" w:cs="Cambria"/>
        </w:rPr>
      </w:pPr>
      <w:r w:rsidRPr="008F3799">
        <w:rPr>
          <w:rFonts w:asciiTheme="majorHAnsi" w:hAnsiTheme="majorHAnsi"/>
          <w:b/>
        </w:rPr>
        <w:t>Breath Alcohol Calibration Equipment</w:t>
      </w:r>
    </w:p>
    <w:p w14:paraId="0A62EFA4" w14:textId="1BC3DB8F" w:rsidR="00537F01" w:rsidRPr="008F3799" w:rsidRDefault="00B439BF">
      <w:pPr>
        <w:pStyle w:val="BodyText"/>
        <w:widowControl/>
        <w:spacing w:after="240"/>
        <w:ind w:left="0"/>
        <w:jc w:val="both"/>
        <w:rPr>
          <w:rFonts w:asciiTheme="majorHAnsi" w:hAnsiTheme="majorHAnsi"/>
          <w:sz w:val="22"/>
          <w:szCs w:val="22"/>
        </w:rPr>
      </w:pPr>
      <w:r>
        <w:rPr>
          <w:rFonts w:asciiTheme="majorHAnsi" w:hAnsiTheme="majorHAnsi"/>
          <w:sz w:val="22"/>
          <w:szCs w:val="22"/>
        </w:rPr>
        <w:t>Simulator t</w:t>
      </w:r>
      <w:r w:rsidR="00334E61" w:rsidRPr="008F3799">
        <w:rPr>
          <w:rFonts w:asciiTheme="majorHAnsi" w:hAnsiTheme="majorHAnsi"/>
          <w:sz w:val="22"/>
          <w:szCs w:val="22"/>
        </w:rPr>
        <w:t>hermometers, multi-meters and barometers, as applicable, shall be</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 xml:space="preserve">calibrated at least </w:t>
      </w:r>
      <w:r w:rsidR="00BE3898">
        <w:rPr>
          <w:rFonts w:asciiTheme="majorHAnsi" w:hAnsiTheme="majorHAnsi"/>
          <w:sz w:val="22"/>
          <w:szCs w:val="22"/>
        </w:rPr>
        <w:t>every two years</w:t>
      </w:r>
      <w:r w:rsidR="00BE3898" w:rsidRPr="008F3799">
        <w:rPr>
          <w:rFonts w:asciiTheme="majorHAnsi" w:hAnsiTheme="majorHAnsi"/>
          <w:sz w:val="22"/>
          <w:szCs w:val="22"/>
        </w:rPr>
        <w:t xml:space="preserve"> </w:t>
      </w:r>
      <w:r w:rsidR="00334E61" w:rsidRPr="008F3799">
        <w:rPr>
          <w:rFonts w:asciiTheme="majorHAnsi" w:hAnsiTheme="majorHAnsi"/>
          <w:sz w:val="22"/>
          <w:szCs w:val="22"/>
        </w:rPr>
        <w:t xml:space="preserve">by </w:t>
      </w:r>
      <w:r w:rsidR="00420507" w:rsidRPr="008F3799">
        <w:rPr>
          <w:rFonts w:asciiTheme="majorHAnsi" w:hAnsiTheme="majorHAnsi"/>
          <w:sz w:val="22"/>
          <w:szCs w:val="22"/>
        </w:rPr>
        <w:t>an appropriately</w:t>
      </w:r>
      <w:r w:rsidR="00334E61" w:rsidRPr="008F3799">
        <w:rPr>
          <w:rFonts w:asciiTheme="majorHAnsi" w:hAnsiTheme="majorHAnsi"/>
          <w:sz w:val="22"/>
          <w:szCs w:val="22"/>
        </w:rPr>
        <w:t xml:space="preserve"> accredited calibration service supplier</w:t>
      </w:r>
      <w:r w:rsidR="00133FB3">
        <w:rPr>
          <w:rFonts w:asciiTheme="majorHAnsi" w:hAnsiTheme="majorHAnsi"/>
          <w:sz w:val="22"/>
          <w:szCs w:val="22"/>
        </w:rPr>
        <w:t>, as defined in 4.2.2</w:t>
      </w:r>
      <w:r w:rsidR="00334E61" w:rsidRPr="008F3799">
        <w:rPr>
          <w:rFonts w:asciiTheme="majorHAnsi" w:hAnsiTheme="majorHAnsi"/>
          <w:sz w:val="22"/>
          <w:szCs w:val="22"/>
        </w:rPr>
        <w:t>.</w:t>
      </w:r>
    </w:p>
    <w:p w14:paraId="0139344D" w14:textId="2BAFD51A" w:rsidR="00537F01" w:rsidRDefault="00CC116A">
      <w:pPr>
        <w:pStyle w:val="BodyText"/>
        <w:widowControl/>
        <w:spacing w:after="240"/>
        <w:ind w:left="0"/>
        <w:jc w:val="both"/>
        <w:rPr>
          <w:rFonts w:asciiTheme="majorHAnsi" w:hAnsiTheme="majorHAnsi"/>
          <w:sz w:val="22"/>
          <w:szCs w:val="22"/>
        </w:rPr>
      </w:pPr>
      <w:r w:rsidRPr="00FE61B3">
        <w:rPr>
          <w:rFonts w:asciiTheme="majorHAnsi" w:hAnsiTheme="majorHAnsi"/>
          <w:sz w:val="22"/>
          <w:szCs w:val="22"/>
        </w:rPr>
        <w:t xml:space="preserve">Sections </w:t>
      </w:r>
      <w:r w:rsidR="00E6781F" w:rsidRPr="00FE61B3">
        <w:rPr>
          <w:rFonts w:asciiTheme="majorHAnsi" w:hAnsiTheme="majorHAnsi"/>
          <w:sz w:val="22"/>
          <w:szCs w:val="22"/>
        </w:rPr>
        <w:t>6</w:t>
      </w:r>
      <w:r w:rsidR="008F3799">
        <w:rPr>
          <w:rFonts w:asciiTheme="majorHAnsi" w:hAnsiTheme="majorHAnsi"/>
          <w:sz w:val="22"/>
          <w:szCs w:val="22"/>
        </w:rPr>
        <w:t>.2</w:t>
      </w:r>
      <w:r w:rsidR="001347E9">
        <w:rPr>
          <w:rFonts w:asciiTheme="majorHAnsi" w:hAnsiTheme="majorHAnsi"/>
          <w:sz w:val="22"/>
          <w:szCs w:val="22"/>
        </w:rPr>
        <w:t>.1</w:t>
      </w:r>
      <w:r w:rsidR="00334E61" w:rsidRPr="008F3799">
        <w:rPr>
          <w:rFonts w:asciiTheme="majorHAnsi" w:hAnsiTheme="majorHAnsi"/>
          <w:sz w:val="22"/>
          <w:szCs w:val="22"/>
        </w:rPr>
        <w:t xml:space="preserve"> </w:t>
      </w:r>
      <w:r w:rsidR="0000528B">
        <w:rPr>
          <w:rFonts w:asciiTheme="majorHAnsi" w:hAnsiTheme="majorHAnsi"/>
          <w:sz w:val="22"/>
          <w:szCs w:val="22"/>
        </w:rPr>
        <w:t>to</w:t>
      </w:r>
      <w:r w:rsidR="00334E61" w:rsidRPr="008F3799">
        <w:rPr>
          <w:rFonts w:asciiTheme="majorHAnsi" w:hAnsiTheme="majorHAnsi"/>
          <w:sz w:val="22"/>
          <w:szCs w:val="22"/>
        </w:rPr>
        <w:t xml:space="preserve"> </w:t>
      </w:r>
      <w:r w:rsidR="00E6781F" w:rsidRPr="008F3799">
        <w:rPr>
          <w:rFonts w:asciiTheme="majorHAnsi" w:hAnsiTheme="majorHAnsi"/>
          <w:sz w:val="22"/>
          <w:szCs w:val="22"/>
        </w:rPr>
        <w:t>6</w:t>
      </w:r>
      <w:r w:rsidR="00334E61" w:rsidRPr="008F3799">
        <w:rPr>
          <w:rFonts w:asciiTheme="majorHAnsi" w:hAnsiTheme="majorHAnsi"/>
          <w:sz w:val="22"/>
          <w:szCs w:val="22"/>
        </w:rPr>
        <w:t>.</w:t>
      </w:r>
      <w:r w:rsidR="001347E9">
        <w:rPr>
          <w:rFonts w:asciiTheme="majorHAnsi" w:hAnsiTheme="majorHAnsi"/>
          <w:sz w:val="22"/>
          <w:szCs w:val="22"/>
        </w:rPr>
        <w:t>2.</w:t>
      </w:r>
      <w:r w:rsidR="00B439BF">
        <w:rPr>
          <w:rFonts w:asciiTheme="majorHAnsi" w:hAnsiTheme="majorHAnsi"/>
          <w:sz w:val="22"/>
          <w:szCs w:val="22"/>
        </w:rPr>
        <w:t>5</w:t>
      </w:r>
      <w:r w:rsidR="00B439BF" w:rsidRPr="008F3799">
        <w:rPr>
          <w:rFonts w:asciiTheme="majorHAnsi" w:hAnsiTheme="majorHAnsi"/>
          <w:sz w:val="22"/>
          <w:szCs w:val="22"/>
        </w:rPr>
        <w:t xml:space="preserve"> </w:t>
      </w:r>
      <w:r w:rsidR="00334E61" w:rsidRPr="008F3799">
        <w:rPr>
          <w:rFonts w:asciiTheme="majorHAnsi" w:hAnsiTheme="majorHAnsi"/>
          <w:sz w:val="22"/>
          <w:szCs w:val="22"/>
        </w:rPr>
        <w:t>apply to equipment used in</w:t>
      </w:r>
      <w:r w:rsidR="00334E61" w:rsidRPr="008F3799">
        <w:rPr>
          <w:rFonts w:asciiTheme="majorHAnsi" w:hAnsiTheme="majorHAnsi"/>
          <w:w w:val="99"/>
          <w:sz w:val="22"/>
          <w:szCs w:val="22"/>
        </w:rPr>
        <w:t xml:space="preserve"> </w:t>
      </w:r>
      <w:r w:rsidR="00334E61" w:rsidRPr="008F3799">
        <w:rPr>
          <w:rFonts w:asciiTheme="majorHAnsi" w:hAnsiTheme="majorHAnsi"/>
          <w:sz w:val="22"/>
          <w:szCs w:val="22"/>
        </w:rPr>
        <w:t>preparation of breath alcohol reference materials used in a breath</w:t>
      </w:r>
      <w:r w:rsidR="0050679F" w:rsidRPr="008F3799">
        <w:rPr>
          <w:rFonts w:asciiTheme="majorHAnsi" w:hAnsiTheme="majorHAnsi"/>
          <w:sz w:val="22"/>
          <w:szCs w:val="22"/>
        </w:rPr>
        <w:t xml:space="preserve"> </w:t>
      </w:r>
      <w:r w:rsidR="00334E61" w:rsidRPr="008F3799">
        <w:rPr>
          <w:rFonts w:asciiTheme="majorHAnsi" w:hAnsiTheme="majorHAnsi"/>
          <w:sz w:val="22"/>
          <w:szCs w:val="22"/>
        </w:rPr>
        <w:t>alcohol calibration method.</w:t>
      </w:r>
    </w:p>
    <w:p w14:paraId="0A980FC5" w14:textId="721901BF" w:rsidR="00133FB3" w:rsidRPr="008F3799" w:rsidRDefault="001347E9" w:rsidP="007D4F85">
      <w:pPr>
        <w:widowControl/>
        <w:numPr>
          <w:ilvl w:val="1"/>
          <w:numId w:val="17"/>
        </w:numPr>
        <w:tabs>
          <w:tab w:val="left" w:pos="720"/>
        </w:tabs>
        <w:spacing w:after="240"/>
        <w:ind w:left="540" w:hanging="540"/>
        <w:jc w:val="both"/>
        <w:rPr>
          <w:rFonts w:asciiTheme="majorHAnsi" w:eastAsia="Cambria" w:hAnsiTheme="majorHAnsi" w:cs="Cambria"/>
        </w:rPr>
      </w:pPr>
      <w:r>
        <w:rPr>
          <w:rFonts w:asciiTheme="majorHAnsi" w:hAnsiTheme="majorHAnsi"/>
          <w:b/>
        </w:rPr>
        <w:t xml:space="preserve">Other </w:t>
      </w:r>
      <w:r w:rsidR="00133FB3" w:rsidRPr="008F3799">
        <w:rPr>
          <w:rFonts w:asciiTheme="majorHAnsi" w:hAnsiTheme="majorHAnsi"/>
          <w:b/>
        </w:rPr>
        <w:t>Equipment</w:t>
      </w:r>
    </w:p>
    <w:p w14:paraId="06A1A8FA" w14:textId="1E8DA650" w:rsidR="00133FB3" w:rsidRPr="008F3799" w:rsidRDefault="00BE3898" w:rsidP="00133FB3">
      <w:pPr>
        <w:pStyle w:val="BodyText"/>
        <w:widowControl/>
        <w:spacing w:after="240"/>
        <w:ind w:left="0"/>
        <w:jc w:val="both"/>
        <w:rPr>
          <w:rFonts w:asciiTheme="majorHAnsi" w:hAnsiTheme="majorHAnsi"/>
          <w:sz w:val="22"/>
          <w:szCs w:val="22"/>
        </w:rPr>
      </w:pPr>
      <w:r>
        <w:rPr>
          <w:rFonts w:asciiTheme="majorHAnsi" w:hAnsiTheme="majorHAnsi"/>
          <w:sz w:val="22"/>
          <w:szCs w:val="22"/>
        </w:rPr>
        <w:t>G</w:t>
      </w:r>
      <w:r w:rsidR="00C44D82">
        <w:rPr>
          <w:rFonts w:asciiTheme="majorHAnsi" w:hAnsiTheme="majorHAnsi"/>
          <w:sz w:val="22"/>
          <w:szCs w:val="22"/>
        </w:rPr>
        <w:t>eneral laboratory equipment used during sample preparation (e.g., c</w:t>
      </w:r>
      <w:r w:rsidR="00133FB3" w:rsidRPr="008F3799">
        <w:rPr>
          <w:rFonts w:asciiTheme="majorHAnsi" w:hAnsiTheme="majorHAnsi"/>
          <w:sz w:val="22"/>
          <w:szCs w:val="22"/>
        </w:rPr>
        <w:t xml:space="preserve">entrifuges, rotators, shakers, water baths, evaporators, </w:t>
      </w:r>
      <w:r>
        <w:rPr>
          <w:rFonts w:asciiTheme="majorHAnsi" w:hAnsiTheme="majorHAnsi"/>
          <w:sz w:val="22"/>
          <w:szCs w:val="22"/>
        </w:rPr>
        <w:t xml:space="preserve">extraction manifolds, and </w:t>
      </w:r>
      <w:r w:rsidR="00133FB3" w:rsidRPr="008F3799">
        <w:rPr>
          <w:rFonts w:asciiTheme="majorHAnsi" w:hAnsiTheme="majorHAnsi"/>
          <w:sz w:val="22"/>
          <w:szCs w:val="22"/>
        </w:rPr>
        <w:t xml:space="preserve">heating </w:t>
      </w:r>
      <w:proofErr w:type="gramStart"/>
      <w:r w:rsidR="00133FB3" w:rsidRPr="008F3799">
        <w:rPr>
          <w:rFonts w:asciiTheme="majorHAnsi" w:hAnsiTheme="majorHAnsi"/>
          <w:sz w:val="22"/>
          <w:szCs w:val="22"/>
        </w:rPr>
        <w:t>blocks</w:t>
      </w:r>
      <w:r w:rsidR="00CA1B28">
        <w:rPr>
          <w:rFonts w:asciiTheme="majorHAnsi" w:hAnsiTheme="majorHAnsi"/>
          <w:sz w:val="22"/>
          <w:szCs w:val="22"/>
        </w:rPr>
        <w:t>)</w:t>
      </w:r>
      <w:r w:rsidR="00133FB3" w:rsidRPr="008F3799">
        <w:rPr>
          <w:rFonts w:asciiTheme="majorHAnsi" w:hAnsiTheme="majorHAnsi"/>
          <w:sz w:val="22"/>
          <w:szCs w:val="22"/>
        </w:rPr>
        <w:t>that</w:t>
      </w:r>
      <w:proofErr w:type="gramEnd"/>
      <w:r w:rsidR="00133FB3" w:rsidRPr="008F3799">
        <w:rPr>
          <w:rFonts w:asciiTheme="majorHAnsi" w:hAnsiTheme="majorHAnsi"/>
          <w:sz w:val="22"/>
          <w:szCs w:val="22"/>
        </w:rPr>
        <w:t xml:space="preserve"> does not significantly affect the accuracy and validity of the test result, </w:t>
      </w:r>
      <w:proofErr w:type="gramStart"/>
      <w:r w:rsidR="00133FB3" w:rsidRPr="008F3799">
        <w:rPr>
          <w:rFonts w:asciiTheme="majorHAnsi" w:hAnsiTheme="majorHAnsi"/>
          <w:sz w:val="22"/>
          <w:szCs w:val="22"/>
        </w:rPr>
        <w:t>do</w:t>
      </w:r>
      <w:proofErr w:type="gramEnd"/>
      <w:r w:rsidR="00133FB3" w:rsidRPr="008F3799">
        <w:rPr>
          <w:rFonts w:asciiTheme="majorHAnsi" w:hAnsiTheme="majorHAnsi"/>
          <w:sz w:val="22"/>
          <w:szCs w:val="22"/>
        </w:rPr>
        <w:t xml:space="preserve"> not require</w:t>
      </w:r>
      <w:r w:rsidR="00133FB3" w:rsidRPr="008F3799">
        <w:rPr>
          <w:rFonts w:asciiTheme="majorHAnsi" w:hAnsiTheme="majorHAnsi"/>
          <w:w w:val="99"/>
          <w:sz w:val="22"/>
          <w:szCs w:val="22"/>
        </w:rPr>
        <w:t xml:space="preserve"> </w:t>
      </w:r>
      <w:r w:rsidR="00133FB3" w:rsidRPr="008F3799">
        <w:rPr>
          <w:rFonts w:asciiTheme="majorHAnsi" w:hAnsiTheme="majorHAnsi"/>
          <w:sz w:val="22"/>
          <w:szCs w:val="22"/>
        </w:rPr>
        <w:t xml:space="preserve">calibration to establish measurement traceability. A </w:t>
      </w:r>
      <w:r w:rsidR="00AE42E1">
        <w:rPr>
          <w:rFonts w:asciiTheme="majorHAnsi" w:hAnsiTheme="majorHAnsi"/>
          <w:sz w:val="22"/>
          <w:szCs w:val="22"/>
        </w:rPr>
        <w:t>forensic toxicology laboratory</w:t>
      </w:r>
      <w:r w:rsidR="00133FB3" w:rsidRPr="008F3799">
        <w:rPr>
          <w:rFonts w:asciiTheme="majorHAnsi" w:hAnsiTheme="majorHAnsi"/>
          <w:sz w:val="22"/>
          <w:szCs w:val="22"/>
        </w:rPr>
        <w:t xml:space="preserve"> may choose to use calibration or verification as a maintenance procedure to ensure proper functioning of the</w:t>
      </w:r>
      <w:r w:rsidR="00133FB3" w:rsidRPr="008F3799">
        <w:rPr>
          <w:rFonts w:asciiTheme="majorHAnsi" w:hAnsiTheme="majorHAnsi"/>
          <w:w w:val="99"/>
          <w:sz w:val="22"/>
          <w:szCs w:val="22"/>
        </w:rPr>
        <w:t xml:space="preserve"> </w:t>
      </w:r>
      <w:r w:rsidR="00133FB3" w:rsidRPr="008F3799">
        <w:rPr>
          <w:rFonts w:asciiTheme="majorHAnsi" w:hAnsiTheme="majorHAnsi"/>
          <w:sz w:val="22"/>
          <w:szCs w:val="22"/>
        </w:rPr>
        <w:t>equipment.</w:t>
      </w:r>
      <w:r w:rsidR="00CA1B28">
        <w:rPr>
          <w:rFonts w:asciiTheme="majorHAnsi" w:hAnsiTheme="majorHAnsi"/>
          <w:sz w:val="22"/>
          <w:szCs w:val="22"/>
        </w:rPr>
        <w:t xml:space="preserve">  </w:t>
      </w:r>
    </w:p>
    <w:p w14:paraId="52700724" w14:textId="77777777" w:rsidR="00C25CDE" w:rsidRPr="008F3799" w:rsidRDefault="00C25CDE" w:rsidP="009E5950">
      <w:pPr>
        <w:pStyle w:val="Heading1"/>
        <w:numPr>
          <w:ilvl w:val="0"/>
          <w:numId w:val="20"/>
        </w:numPr>
        <w:spacing w:after="240"/>
        <w:jc w:val="both"/>
        <w:rPr>
          <w:rFonts w:cs="Cambria"/>
        </w:rPr>
      </w:pPr>
      <w:bookmarkStart w:id="6" w:name="_Toc494723955"/>
      <w:r>
        <w:t>Conformance</w:t>
      </w:r>
      <w:bookmarkEnd w:id="6"/>
    </w:p>
    <w:p w14:paraId="2ECED5B9" w14:textId="0D120B5A" w:rsidR="00D159A0" w:rsidRPr="00D159A0" w:rsidRDefault="00266E8E">
      <w:pPr>
        <w:pStyle w:val="BodyText"/>
        <w:widowControl/>
        <w:spacing w:after="240"/>
        <w:ind w:left="0"/>
        <w:jc w:val="both"/>
        <w:rPr>
          <w:rFonts w:asciiTheme="majorHAnsi" w:hAnsiTheme="majorHAnsi"/>
          <w:sz w:val="22"/>
          <w:szCs w:val="22"/>
        </w:rPr>
      </w:pPr>
      <w:r>
        <w:rPr>
          <w:rFonts w:asciiTheme="majorHAnsi" w:hAnsiTheme="majorHAnsi"/>
          <w:sz w:val="22"/>
          <w:szCs w:val="22"/>
        </w:rPr>
        <w:t xml:space="preserve">Documentation to verify conformance with the above requirements shall be maintained by the </w:t>
      </w:r>
      <w:r w:rsidR="00AE42E1">
        <w:rPr>
          <w:rFonts w:asciiTheme="majorHAnsi" w:hAnsiTheme="majorHAnsi"/>
          <w:sz w:val="22"/>
          <w:szCs w:val="22"/>
        </w:rPr>
        <w:t>forensic toxicology laboratory</w:t>
      </w:r>
      <w:r>
        <w:rPr>
          <w:rFonts w:asciiTheme="majorHAnsi" w:hAnsiTheme="majorHAnsi"/>
          <w:sz w:val="22"/>
          <w:szCs w:val="22"/>
        </w:rPr>
        <w:t xml:space="preserve"> for a minimum of five years </w:t>
      </w:r>
      <w:r w:rsidR="00151369">
        <w:rPr>
          <w:rFonts w:asciiTheme="majorHAnsi" w:hAnsiTheme="majorHAnsi"/>
          <w:sz w:val="22"/>
          <w:szCs w:val="22"/>
        </w:rPr>
        <w:t xml:space="preserve">after expiration </w:t>
      </w:r>
      <w:r>
        <w:rPr>
          <w:rFonts w:asciiTheme="majorHAnsi" w:hAnsiTheme="majorHAnsi"/>
          <w:sz w:val="22"/>
          <w:szCs w:val="22"/>
        </w:rPr>
        <w:t xml:space="preserve">and </w:t>
      </w:r>
      <w:r w:rsidR="00D00C1F">
        <w:rPr>
          <w:rFonts w:asciiTheme="majorHAnsi" w:hAnsiTheme="majorHAnsi"/>
          <w:sz w:val="22"/>
          <w:szCs w:val="22"/>
        </w:rPr>
        <w:t xml:space="preserve">shall </w:t>
      </w:r>
      <w:r>
        <w:rPr>
          <w:rFonts w:asciiTheme="majorHAnsi" w:hAnsiTheme="majorHAnsi"/>
          <w:sz w:val="22"/>
          <w:szCs w:val="22"/>
        </w:rPr>
        <w:t>be made available to auditors upon request</w:t>
      </w:r>
      <w:r w:rsidR="00D159A0">
        <w:rPr>
          <w:rFonts w:asciiTheme="majorHAnsi" w:hAnsiTheme="majorHAnsi"/>
          <w:sz w:val="22"/>
          <w:szCs w:val="22"/>
        </w:rPr>
        <w:t>.</w:t>
      </w:r>
    </w:p>
    <w:p w14:paraId="4FE9E0A4" w14:textId="77777777" w:rsidR="008F3799" w:rsidRDefault="008F3799" w:rsidP="009A2E65">
      <w:pPr>
        <w:rPr>
          <w:rFonts w:asciiTheme="majorHAnsi" w:hAnsiTheme="majorHAnsi"/>
          <w:b/>
          <w:sz w:val="24"/>
        </w:rPr>
      </w:pPr>
      <w:r>
        <w:rPr>
          <w:rFonts w:asciiTheme="majorHAnsi" w:hAnsiTheme="majorHAnsi"/>
          <w:b/>
          <w:sz w:val="24"/>
        </w:rPr>
        <w:br w:type="page"/>
      </w:r>
    </w:p>
    <w:p w14:paraId="0F0D928A" w14:textId="2A93E6AB" w:rsidR="00C25CDE" w:rsidRPr="007E3402" w:rsidRDefault="008F3799" w:rsidP="00C126AF">
      <w:pPr>
        <w:pStyle w:val="Heading1"/>
        <w:spacing w:after="240"/>
        <w:ind w:left="0"/>
        <w:jc w:val="center"/>
        <w:rPr>
          <w:b w:val="0"/>
          <w:sz w:val="28"/>
        </w:rPr>
      </w:pPr>
      <w:bookmarkStart w:id="7" w:name="_Toc494723956"/>
      <w:r w:rsidRPr="009A3B1E">
        <w:rPr>
          <w:sz w:val="28"/>
        </w:rPr>
        <w:lastRenderedPageBreak/>
        <w:t>Annex A</w:t>
      </w:r>
      <w:r w:rsidRPr="009A3B1E">
        <w:rPr>
          <w:sz w:val="28"/>
        </w:rPr>
        <w:br/>
      </w:r>
      <w:bookmarkStart w:id="8" w:name="_Toc494723957"/>
      <w:bookmarkEnd w:id="7"/>
      <w:r w:rsidR="00C25CDE" w:rsidRPr="007E3402">
        <w:rPr>
          <w:b w:val="0"/>
          <w:sz w:val="28"/>
        </w:rPr>
        <w:t>(informative)</w:t>
      </w:r>
      <w:bookmarkEnd w:id="8"/>
    </w:p>
    <w:p w14:paraId="16BB7AD2" w14:textId="77777777" w:rsidR="008F3799" w:rsidRPr="008F3799" w:rsidRDefault="008F3799" w:rsidP="00C126AF">
      <w:pPr>
        <w:pStyle w:val="ListParagraph"/>
        <w:spacing w:after="360"/>
        <w:jc w:val="center"/>
        <w:rPr>
          <w:rFonts w:asciiTheme="majorHAnsi" w:hAnsiTheme="majorHAnsi"/>
          <w:b/>
          <w:sz w:val="28"/>
        </w:rPr>
      </w:pPr>
      <w:r>
        <w:rPr>
          <w:rFonts w:asciiTheme="majorHAnsi" w:hAnsiTheme="majorHAnsi"/>
          <w:b/>
          <w:sz w:val="28"/>
        </w:rPr>
        <w:t>Bibliography</w:t>
      </w:r>
    </w:p>
    <w:p w14:paraId="31639717" w14:textId="74680622" w:rsidR="00537F01" w:rsidRPr="00EB2968" w:rsidRDefault="00334E61" w:rsidP="00EB2968">
      <w:pPr>
        <w:pStyle w:val="BodyText"/>
        <w:widowControl/>
        <w:numPr>
          <w:ilvl w:val="0"/>
          <w:numId w:val="18"/>
        </w:numPr>
        <w:tabs>
          <w:tab w:val="left" w:pos="461"/>
        </w:tabs>
        <w:spacing w:after="240"/>
        <w:rPr>
          <w:rFonts w:asciiTheme="majorHAnsi" w:hAnsiTheme="majorHAnsi"/>
          <w:sz w:val="22"/>
        </w:rPr>
      </w:pPr>
      <w:r w:rsidRPr="009A3B1E">
        <w:rPr>
          <w:rFonts w:asciiTheme="majorHAnsi" w:hAnsiTheme="majorHAnsi"/>
          <w:sz w:val="22"/>
        </w:rPr>
        <w:t xml:space="preserve">ASCLD/LAB </w:t>
      </w:r>
      <w:r w:rsidRPr="00C126AF">
        <w:rPr>
          <w:rFonts w:asciiTheme="majorHAnsi" w:hAnsiTheme="majorHAnsi"/>
          <w:i/>
          <w:sz w:val="22"/>
        </w:rPr>
        <w:t xml:space="preserve">Guidance on Measurement Traceability </w:t>
      </w:r>
      <w:r w:rsidRPr="00C126AF">
        <w:rPr>
          <w:rFonts w:asciiTheme="majorHAnsi" w:hAnsiTheme="majorHAnsi" w:cs="Cambria"/>
          <w:i/>
          <w:sz w:val="22"/>
        </w:rPr>
        <w:t xml:space="preserve">– </w:t>
      </w:r>
      <w:r w:rsidRPr="00C126AF">
        <w:rPr>
          <w:rFonts w:asciiTheme="majorHAnsi" w:hAnsiTheme="majorHAnsi"/>
          <w:i/>
          <w:sz w:val="22"/>
        </w:rPr>
        <w:t xml:space="preserve">Measurement </w:t>
      </w:r>
      <w:r w:rsidRPr="00EB2968">
        <w:rPr>
          <w:rFonts w:asciiTheme="majorHAnsi" w:hAnsiTheme="majorHAnsi"/>
          <w:i/>
          <w:sz w:val="22"/>
        </w:rPr>
        <w:t>Assurance</w:t>
      </w:r>
      <w:r w:rsidR="00EB2968" w:rsidRPr="00EB2968">
        <w:rPr>
          <w:rFonts w:asciiTheme="majorHAnsi" w:hAnsiTheme="majorHAnsi"/>
          <w:i/>
          <w:sz w:val="22"/>
        </w:rPr>
        <w:t xml:space="preserve"> </w:t>
      </w:r>
      <w:r w:rsidR="00EB2968" w:rsidRPr="00EB2968">
        <w:rPr>
          <w:rFonts w:asciiTheme="majorHAnsi" w:hAnsiTheme="majorHAnsi"/>
          <w:i/>
          <w:sz w:val="22"/>
        </w:rPr>
        <w:br/>
      </w:r>
      <w:hyperlink r:id="rId22" w:history="1">
        <w:r w:rsidR="00EB2968" w:rsidRPr="00A467AC">
          <w:rPr>
            <w:rStyle w:val="Hyperlink"/>
            <w:rFonts w:asciiTheme="majorHAnsi" w:hAnsiTheme="majorHAnsi"/>
            <w:sz w:val="22"/>
          </w:rPr>
          <w:t>www.ascld-lab.org/</w:t>
        </w:r>
      </w:hyperlink>
      <w:r w:rsidR="00EB2968" w:rsidRPr="00EB2968">
        <w:rPr>
          <w:rFonts w:asciiTheme="majorHAnsi" w:hAnsiTheme="majorHAnsi"/>
          <w:sz w:val="22"/>
        </w:rPr>
        <w:t xml:space="preserve"> </w:t>
      </w:r>
    </w:p>
    <w:p w14:paraId="54A82E29" w14:textId="12D8CEB4" w:rsidR="00537F01" w:rsidRPr="009A3B1E" w:rsidRDefault="00334E61" w:rsidP="009A3B1E">
      <w:pPr>
        <w:pStyle w:val="BodyText"/>
        <w:widowControl/>
        <w:numPr>
          <w:ilvl w:val="0"/>
          <w:numId w:val="18"/>
        </w:numPr>
        <w:tabs>
          <w:tab w:val="left" w:pos="461"/>
        </w:tabs>
        <w:spacing w:after="240"/>
        <w:jc w:val="both"/>
        <w:rPr>
          <w:rFonts w:asciiTheme="majorHAnsi" w:hAnsiTheme="majorHAnsi"/>
          <w:sz w:val="22"/>
        </w:rPr>
      </w:pPr>
      <w:r w:rsidRPr="009A3B1E">
        <w:rPr>
          <w:rFonts w:asciiTheme="majorHAnsi" w:hAnsiTheme="majorHAnsi"/>
          <w:sz w:val="22"/>
        </w:rPr>
        <w:t xml:space="preserve">ASCLD/LAB </w:t>
      </w:r>
      <w:r w:rsidRPr="00C126AF">
        <w:rPr>
          <w:rFonts w:asciiTheme="majorHAnsi" w:hAnsiTheme="majorHAnsi"/>
          <w:i/>
          <w:sz w:val="22"/>
        </w:rPr>
        <w:t>Policy on Measurement Traceability</w:t>
      </w:r>
      <w:r w:rsidR="0062079A">
        <w:rPr>
          <w:rFonts w:asciiTheme="majorHAnsi" w:hAnsiTheme="majorHAnsi"/>
          <w:sz w:val="22"/>
        </w:rPr>
        <w:t xml:space="preserve"> </w:t>
      </w:r>
      <w:hyperlink r:id="rId23" w:history="1">
        <w:r w:rsidR="00EB2968" w:rsidRPr="00A467AC">
          <w:rPr>
            <w:rStyle w:val="Hyperlink"/>
            <w:rFonts w:asciiTheme="majorHAnsi" w:hAnsiTheme="majorHAnsi"/>
            <w:sz w:val="22"/>
          </w:rPr>
          <w:t>www.ascld-lab.org/</w:t>
        </w:r>
      </w:hyperlink>
    </w:p>
    <w:p w14:paraId="52FFCECF" w14:textId="227E9740" w:rsidR="00537F01" w:rsidRPr="009A3B1E" w:rsidRDefault="00334E61" w:rsidP="009A3B1E">
      <w:pPr>
        <w:pStyle w:val="BodyText"/>
        <w:widowControl/>
        <w:numPr>
          <w:ilvl w:val="0"/>
          <w:numId w:val="18"/>
        </w:numPr>
        <w:tabs>
          <w:tab w:val="left" w:pos="461"/>
        </w:tabs>
        <w:spacing w:after="240"/>
        <w:jc w:val="both"/>
        <w:rPr>
          <w:rFonts w:asciiTheme="majorHAnsi" w:hAnsiTheme="majorHAnsi"/>
          <w:sz w:val="22"/>
        </w:rPr>
      </w:pPr>
      <w:r w:rsidRPr="009A3B1E">
        <w:rPr>
          <w:rFonts w:asciiTheme="majorHAnsi" w:hAnsiTheme="majorHAnsi"/>
          <w:sz w:val="22"/>
        </w:rPr>
        <w:t>ASTM</w:t>
      </w:r>
      <w:r w:rsidR="00FC14FA" w:rsidRPr="009A3B1E">
        <w:rPr>
          <w:rFonts w:asciiTheme="majorHAnsi" w:hAnsiTheme="majorHAnsi"/>
          <w:sz w:val="22"/>
        </w:rPr>
        <w:t xml:space="preserve"> </w:t>
      </w:r>
      <w:r w:rsidRPr="009A3B1E">
        <w:rPr>
          <w:rFonts w:asciiTheme="majorHAnsi" w:hAnsiTheme="majorHAnsi"/>
          <w:sz w:val="22"/>
        </w:rPr>
        <w:t>International</w:t>
      </w:r>
      <w:r w:rsidR="00FC14FA" w:rsidRPr="009A3B1E">
        <w:rPr>
          <w:rFonts w:asciiTheme="majorHAnsi" w:hAnsiTheme="majorHAnsi"/>
          <w:sz w:val="22"/>
        </w:rPr>
        <w:t xml:space="preserve"> </w:t>
      </w:r>
      <w:r w:rsidRPr="009A3B1E">
        <w:rPr>
          <w:rFonts w:asciiTheme="majorHAnsi" w:hAnsiTheme="majorHAnsi"/>
          <w:sz w:val="22"/>
        </w:rPr>
        <w:t>E542-01</w:t>
      </w:r>
      <w:r w:rsidR="00FC14FA" w:rsidRPr="009A3B1E">
        <w:rPr>
          <w:rFonts w:asciiTheme="majorHAnsi" w:hAnsiTheme="majorHAnsi"/>
          <w:sz w:val="22"/>
        </w:rPr>
        <w:t xml:space="preserve"> </w:t>
      </w:r>
      <w:r w:rsidRPr="00C126AF">
        <w:rPr>
          <w:rFonts w:asciiTheme="majorHAnsi" w:hAnsiTheme="majorHAnsi"/>
          <w:i/>
          <w:sz w:val="22"/>
        </w:rPr>
        <w:t>Standard</w:t>
      </w:r>
      <w:r w:rsidR="00FC14FA" w:rsidRPr="00C126AF">
        <w:rPr>
          <w:rFonts w:asciiTheme="majorHAnsi" w:hAnsiTheme="majorHAnsi"/>
          <w:i/>
          <w:sz w:val="22"/>
        </w:rPr>
        <w:t xml:space="preserve"> </w:t>
      </w:r>
      <w:r w:rsidRPr="00C126AF">
        <w:rPr>
          <w:rFonts w:asciiTheme="majorHAnsi" w:hAnsiTheme="majorHAnsi"/>
          <w:i/>
          <w:sz w:val="22"/>
        </w:rPr>
        <w:t>Practice</w:t>
      </w:r>
      <w:r w:rsidR="00FC14FA" w:rsidRPr="00C126AF">
        <w:rPr>
          <w:rFonts w:asciiTheme="majorHAnsi" w:hAnsiTheme="majorHAnsi"/>
          <w:i/>
          <w:sz w:val="22"/>
        </w:rPr>
        <w:t xml:space="preserve"> </w:t>
      </w:r>
      <w:r w:rsidRPr="00C126AF">
        <w:rPr>
          <w:rFonts w:asciiTheme="majorHAnsi" w:hAnsiTheme="majorHAnsi"/>
          <w:i/>
          <w:sz w:val="22"/>
        </w:rPr>
        <w:t>for</w:t>
      </w:r>
      <w:r w:rsidR="00FC14FA" w:rsidRPr="00C126AF">
        <w:rPr>
          <w:rFonts w:asciiTheme="majorHAnsi" w:hAnsiTheme="majorHAnsi"/>
          <w:i/>
          <w:sz w:val="22"/>
        </w:rPr>
        <w:t xml:space="preserve"> </w:t>
      </w:r>
      <w:r w:rsidRPr="00C126AF">
        <w:rPr>
          <w:rFonts w:asciiTheme="majorHAnsi" w:hAnsiTheme="majorHAnsi"/>
          <w:i/>
          <w:sz w:val="22"/>
        </w:rPr>
        <w:t>Calibration</w:t>
      </w:r>
      <w:r w:rsidR="00FC14FA" w:rsidRPr="00C126AF">
        <w:rPr>
          <w:rFonts w:asciiTheme="majorHAnsi" w:hAnsiTheme="majorHAnsi"/>
          <w:i/>
          <w:sz w:val="22"/>
        </w:rPr>
        <w:t xml:space="preserve"> </w:t>
      </w:r>
      <w:r w:rsidRPr="00C126AF">
        <w:rPr>
          <w:rFonts w:asciiTheme="majorHAnsi" w:hAnsiTheme="majorHAnsi"/>
          <w:i/>
          <w:sz w:val="22"/>
        </w:rPr>
        <w:t>of</w:t>
      </w:r>
      <w:r w:rsidR="00FC14FA" w:rsidRPr="00C126AF">
        <w:rPr>
          <w:rFonts w:asciiTheme="majorHAnsi" w:hAnsiTheme="majorHAnsi"/>
          <w:i/>
          <w:sz w:val="22"/>
        </w:rPr>
        <w:t xml:space="preserve"> </w:t>
      </w:r>
      <w:r w:rsidRPr="00C126AF">
        <w:rPr>
          <w:rFonts w:asciiTheme="majorHAnsi" w:hAnsiTheme="majorHAnsi"/>
          <w:i/>
          <w:sz w:val="22"/>
        </w:rPr>
        <w:t>Laboratory</w:t>
      </w:r>
      <w:r w:rsidRPr="00C126AF">
        <w:rPr>
          <w:rFonts w:asciiTheme="majorHAnsi" w:hAnsiTheme="majorHAnsi"/>
          <w:i/>
          <w:w w:val="99"/>
          <w:sz w:val="22"/>
        </w:rPr>
        <w:t xml:space="preserve"> </w:t>
      </w:r>
      <w:r w:rsidRPr="00C126AF">
        <w:rPr>
          <w:rFonts w:asciiTheme="majorHAnsi" w:hAnsiTheme="majorHAnsi"/>
          <w:i/>
          <w:sz w:val="22"/>
        </w:rPr>
        <w:t>Volumetric Apparatus</w:t>
      </w:r>
      <w:r w:rsidRPr="009A3B1E">
        <w:rPr>
          <w:rFonts w:asciiTheme="majorHAnsi" w:hAnsiTheme="majorHAnsi"/>
          <w:sz w:val="22"/>
        </w:rPr>
        <w:t xml:space="preserve"> </w:t>
      </w:r>
      <w:hyperlink r:id="rId24">
        <w:r w:rsidRPr="009A3B1E">
          <w:rPr>
            <w:rFonts w:asciiTheme="majorHAnsi" w:hAnsiTheme="majorHAnsi"/>
            <w:color w:val="0000FF"/>
            <w:sz w:val="22"/>
            <w:u w:val="single" w:color="0000FF"/>
          </w:rPr>
          <w:t>www.astm.org</w:t>
        </w:r>
      </w:hyperlink>
    </w:p>
    <w:p w14:paraId="3AADB4F7" w14:textId="6D7D2D24" w:rsidR="00537F01" w:rsidRPr="009A3B1E" w:rsidRDefault="00334E61" w:rsidP="00EB2968">
      <w:pPr>
        <w:pStyle w:val="BodyText"/>
        <w:widowControl/>
        <w:numPr>
          <w:ilvl w:val="0"/>
          <w:numId w:val="18"/>
        </w:numPr>
        <w:tabs>
          <w:tab w:val="left" w:pos="461"/>
        </w:tabs>
        <w:spacing w:after="240"/>
        <w:jc w:val="both"/>
        <w:rPr>
          <w:rFonts w:asciiTheme="majorHAnsi" w:hAnsiTheme="majorHAnsi"/>
          <w:sz w:val="22"/>
        </w:rPr>
      </w:pPr>
      <w:proofErr w:type="spellStart"/>
      <w:r w:rsidRPr="00C126AF">
        <w:rPr>
          <w:rFonts w:asciiTheme="majorHAnsi" w:hAnsiTheme="majorHAnsi"/>
          <w:i/>
          <w:sz w:val="22"/>
        </w:rPr>
        <w:t>Eurachem</w:t>
      </w:r>
      <w:proofErr w:type="spellEnd"/>
      <w:r w:rsidRPr="00C126AF">
        <w:rPr>
          <w:rFonts w:asciiTheme="majorHAnsi" w:hAnsiTheme="majorHAnsi"/>
          <w:i/>
          <w:sz w:val="22"/>
        </w:rPr>
        <w:t xml:space="preserve"> Terminology in Analytical Measurement </w:t>
      </w:r>
      <w:r w:rsidRPr="00C126AF">
        <w:rPr>
          <w:rFonts w:asciiTheme="majorHAnsi" w:hAnsiTheme="majorHAnsi" w:cs="Cambria"/>
          <w:i/>
          <w:sz w:val="22"/>
        </w:rPr>
        <w:t xml:space="preserve">– </w:t>
      </w:r>
      <w:r w:rsidRPr="00C126AF">
        <w:rPr>
          <w:rFonts w:asciiTheme="majorHAnsi" w:hAnsiTheme="majorHAnsi"/>
          <w:i/>
          <w:sz w:val="22"/>
        </w:rPr>
        <w:t>Introduction to VIM 3</w:t>
      </w:r>
      <w:r w:rsidRPr="009A3B1E">
        <w:rPr>
          <w:rFonts w:asciiTheme="majorHAnsi" w:hAnsiTheme="majorHAnsi"/>
          <w:sz w:val="22"/>
        </w:rPr>
        <w:t xml:space="preserve"> </w:t>
      </w:r>
      <w:hyperlink r:id="rId25" w:history="1">
        <w:r w:rsidR="00EB2968" w:rsidRPr="00A467AC">
          <w:rPr>
            <w:rStyle w:val="Hyperlink"/>
            <w:rFonts w:asciiTheme="majorHAnsi" w:hAnsiTheme="majorHAnsi"/>
            <w:sz w:val="22"/>
          </w:rPr>
          <w:t>https://www.eurachem.org/index.php/publications/guides/terminology-in-analytical-measurement</w:t>
        </w:r>
      </w:hyperlink>
      <w:r w:rsidR="00EB2968">
        <w:rPr>
          <w:rFonts w:asciiTheme="majorHAnsi" w:hAnsiTheme="majorHAnsi"/>
          <w:sz w:val="22"/>
        </w:rPr>
        <w:t xml:space="preserve"> </w:t>
      </w:r>
    </w:p>
    <w:p w14:paraId="3504326F" w14:textId="7639B570" w:rsidR="00537F01" w:rsidRPr="009730D3" w:rsidRDefault="00334E61" w:rsidP="009A3B1E">
      <w:pPr>
        <w:pStyle w:val="BodyText"/>
        <w:widowControl/>
        <w:numPr>
          <w:ilvl w:val="0"/>
          <w:numId w:val="18"/>
        </w:numPr>
        <w:tabs>
          <w:tab w:val="left" w:pos="514"/>
        </w:tabs>
        <w:spacing w:after="240"/>
        <w:jc w:val="both"/>
        <w:rPr>
          <w:rFonts w:asciiTheme="majorHAnsi" w:hAnsiTheme="majorHAnsi"/>
          <w:sz w:val="22"/>
        </w:rPr>
      </w:pPr>
      <w:r w:rsidRPr="009A3B1E">
        <w:rPr>
          <w:rFonts w:asciiTheme="majorHAnsi" w:hAnsiTheme="majorHAnsi" w:cs="Cambria"/>
          <w:sz w:val="22"/>
        </w:rPr>
        <w:t xml:space="preserve">The National Institute of Standards and Technology (NIST) definition of “internal measurement assurance program” </w:t>
      </w:r>
      <w:hyperlink r:id="rId26">
        <w:r w:rsidRPr="009A3B1E">
          <w:rPr>
            <w:rFonts w:asciiTheme="majorHAnsi" w:hAnsiTheme="majorHAnsi"/>
            <w:color w:val="0000FF"/>
            <w:sz w:val="22"/>
            <w:u w:val="single" w:color="0000FF"/>
          </w:rPr>
          <w:t>www.nist.gov/traceability/index.cfm</w:t>
        </w:r>
      </w:hyperlink>
    </w:p>
    <w:p w14:paraId="7D0FA9D5" w14:textId="55EC2C40" w:rsidR="009730D3" w:rsidRDefault="009730D3" w:rsidP="009730D3">
      <w:pPr>
        <w:pStyle w:val="BodyText"/>
        <w:widowControl/>
        <w:numPr>
          <w:ilvl w:val="0"/>
          <w:numId w:val="18"/>
        </w:numPr>
        <w:tabs>
          <w:tab w:val="left" w:pos="514"/>
        </w:tabs>
        <w:spacing w:after="240"/>
        <w:jc w:val="both"/>
        <w:rPr>
          <w:rFonts w:asciiTheme="majorHAnsi" w:hAnsiTheme="majorHAnsi"/>
          <w:sz w:val="22"/>
        </w:rPr>
      </w:pPr>
      <w:r w:rsidRPr="009A3B1E">
        <w:rPr>
          <w:rFonts w:asciiTheme="majorHAnsi" w:hAnsiTheme="majorHAnsi" w:cs="Cambria"/>
          <w:sz w:val="22"/>
        </w:rPr>
        <w:t>The National Institute of Standards and Technology (NIST)</w:t>
      </w:r>
      <w:r w:rsidRPr="009730D3">
        <w:rPr>
          <w:rFonts w:asciiTheme="majorHAnsi" w:hAnsiTheme="majorHAnsi"/>
          <w:sz w:val="22"/>
        </w:rPr>
        <w:t xml:space="preserve"> </w:t>
      </w:r>
      <w:r w:rsidRPr="009730D3">
        <w:rPr>
          <w:rFonts w:asciiTheme="majorHAnsi" w:hAnsiTheme="majorHAnsi"/>
          <w:i/>
          <w:sz w:val="22"/>
        </w:rPr>
        <w:t>Sample Procedure for Method Validation</w:t>
      </w:r>
      <w:r w:rsidRPr="009730D3">
        <w:rPr>
          <w:rFonts w:asciiTheme="majorHAnsi" w:hAnsiTheme="majorHAnsi"/>
          <w:sz w:val="22"/>
        </w:rPr>
        <w:t xml:space="preserve"> </w:t>
      </w:r>
      <w:hyperlink r:id="rId27" w:history="1">
        <w:r w:rsidRPr="00A467AC">
          <w:rPr>
            <w:rStyle w:val="Hyperlink"/>
            <w:rFonts w:asciiTheme="majorHAnsi" w:hAnsiTheme="majorHAnsi"/>
            <w:sz w:val="22"/>
          </w:rPr>
          <w:t>https://www.nist.gov/document/sapmethodvalidation2016-12-21doc</w:t>
        </w:r>
      </w:hyperlink>
      <w:r>
        <w:rPr>
          <w:rFonts w:asciiTheme="majorHAnsi" w:hAnsiTheme="majorHAnsi"/>
          <w:sz w:val="22"/>
        </w:rPr>
        <w:t xml:space="preserve"> </w:t>
      </w:r>
    </w:p>
    <w:p w14:paraId="11AB6125" w14:textId="30B13781" w:rsidR="0062079A" w:rsidRDefault="0062079A" w:rsidP="0062079A">
      <w:pPr>
        <w:pStyle w:val="BodyText"/>
        <w:widowControl/>
        <w:numPr>
          <w:ilvl w:val="0"/>
          <w:numId w:val="18"/>
        </w:numPr>
        <w:spacing w:after="240"/>
        <w:rPr>
          <w:rFonts w:asciiTheme="majorHAnsi" w:hAnsiTheme="majorHAnsi"/>
          <w:sz w:val="22"/>
        </w:rPr>
      </w:pPr>
      <w:r w:rsidRPr="0097303D">
        <w:rPr>
          <w:rFonts w:asciiTheme="majorHAnsi" w:hAnsiTheme="majorHAnsi" w:cs="Cambria"/>
          <w:sz w:val="22"/>
        </w:rPr>
        <w:t>The National Institute of Standards and Technology (NIST)</w:t>
      </w:r>
      <w:r w:rsidRPr="0097303D">
        <w:rPr>
          <w:rFonts w:asciiTheme="majorHAnsi" w:hAnsiTheme="majorHAnsi"/>
          <w:sz w:val="22"/>
        </w:rPr>
        <w:t xml:space="preserve"> </w:t>
      </w:r>
      <w:r w:rsidRPr="0097303D">
        <w:rPr>
          <w:rFonts w:asciiTheme="majorHAnsi" w:hAnsiTheme="majorHAnsi"/>
          <w:i/>
          <w:sz w:val="22"/>
        </w:rPr>
        <w:t>Important Technical Guidance on Glassware</w:t>
      </w:r>
      <w:r w:rsidRPr="0097303D">
        <w:rPr>
          <w:rFonts w:asciiTheme="majorHAnsi" w:hAnsiTheme="majorHAnsi"/>
          <w:sz w:val="22"/>
        </w:rPr>
        <w:t xml:space="preserve"> </w:t>
      </w:r>
      <w:hyperlink r:id="rId28" w:history="1">
        <w:r w:rsidRPr="0097303D">
          <w:rPr>
            <w:rStyle w:val="Hyperlink"/>
            <w:rFonts w:asciiTheme="majorHAnsi" w:hAnsiTheme="majorHAnsi"/>
            <w:sz w:val="22"/>
          </w:rPr>
          <w:t>https://www.nist.gov/sites/default/files/documents/2017/05/09/H-008.pdf</w:t>
        </w:r>
      </w:hyperlink>
    </w:p>
    <w:p w14:paraId="5CF34497" w14:textId="00484E47" w:rsidR="00537F01" w:rsidRPr="009A3B1E" w:rsidRDefault="00520B31" w:rsidP="00EB2968">
      <w:pPr>
        <w:pStyle w:val="BodyText"/>
        <w:widowControl/>
        <w:numPr>
          <w:ilvl w:val="0"/>
          <w:numId w:val="18"/>
        </w:numPr>
        <w:tabs>
          <w:tab w:val="left" w:pos="461"/>
        </w:tabs>
        <w:spacing w:after="240"/>
        <w:jc w:val="both"/>
        <w:rPr>
          <w:rFonts w:asciiTheme="majorHAnsi" w:hAnsiTheme="majorHAnsi"/>
          <w:sz w:val="22"/>
        </w:rPr>
      </w:pPr>
      <w:r w:rsidRPr="009A3B1E">
        <w:rPr>
          <w:rFonts w:asciiTheme="majorHAnsi" w:hAnsiTheme="majorHAnsi"/>
          <w:sz w:val="22"/>
        </w:rPr>
        <w:t>Interna</w:t>
      </w:r>
      <w:r>
        <w:rPr>
          <w:rFonts w:asciiTheme="majorHAnsi" w:hAnsiTheme="majorHAnsi"/>
          <w:sz w:val="22"/>
        </w:rPr>
        <w:t>tional</w:t>
      </w:r>
      <w:r w:rsidRPr="009A3B1E">
        <w:rPr>
          <w:rFonts w:asciiTheme="majorHAnsi" w:hAnsiTheme="majorHAnsi"/>
          <w:sz w:val="22"/>
        </w:rPr>
        <w:t xml:space="preserve"> </w:t>
      </w:r>
      <w:r w:rsidR="00334E61" w:rsidRPr="009A3B1E">
        <w:rPr>
          <w:rFonts w:asciiTheme="majorHAnsi" w:hAnsiTheme="majorHAnsi"/>
          <w:sz w:val="22"/>
        </w:rPr>
        <w:t>Organization for Standardization (ISO). ISO/IEC 9000:20</w:t>
      </w:r>
      <w:r w:rsidR="006120C3">
        <w:rPr>
          <w:rFonts w:asciiTheme="majorHAnsi" w:hAnsiTheme="majorHAnsi"/>
          <w:sz w:val="22"/>
        </w:rPr>
        <w:t>1</w:t>
      </w:r>
      <w:r w:rsidR="00334E61" w:rsidRPr="009A3B1E">
        <w:rPr>
          <w:rFonts w:asciiTheme="majorHAnsi" w:hAnsiTheme="majorHAnsi"/>
          <w:sz w:val="22"/>
        </w:rPr>
        <w:t xml:space="preserve">5 </w:t>
      </w:r>
      <w:r w:rsidR="00334E61" w:rsidRPr="00C126AF">
        <w:rPr>
          <w:rFonts w:asciiTheme="majorHAnsi" w:hAnsiTheme="majorHAnsi"/>
          <w:i/>
          <w:sz w:val="22"/>
        </w:rPr>
        <w:t>Quality Management Systems</w:t>
      </w:r>
      <w:r w:rsidR="00C126AF">
        <w:rPr>
          <w:rFonts w:asciiTheme="majorHAnsi" w:hAnsiTheme="majorHAnsi"/>
          <w:i/>
          <w:sz w:val="22"/>
        </w:rPr>
        <w:t>—</w:t>
      </w:r>
      <w:r w:rsidR="00334E61" w:rsidRPr="00C126AF">
        <w:rPr>
          <w:rFonts w:asciiTheme="majorHAnsi" w:hAnsiTheme="majorHAnsi"/>
          <w:i/>
          <w:sz w:val="22"/>
        </w:rPr>
        <w:t>Fundamentals and Vocabulary</w:t>
      </w:r>
      <w:r w:rsidR="00334E61" w:rsidRPr="009A3B1E">
        <w:rPr>
          <w:rFonts w:asciiTheme="majorHAnsi" w:hAnsiTheme="majorHAnsi"/>
          <w:sz w:val="22"/>
        </w:rPr>
        <w:t xml:space="preserve"> (Geneva, Switzerland)</w:t>
      </w:r>
      <w:r w:rsidR="00EB2968">
        <w:rPr>
          <w:rFonts w:asciiTheme="majorHAnsi" w:hAnsiTheme="majorHAnsi"/>
          <w:sz w:val="22"/>
        </w:rPr>
        <w:t xml:space="preserve"> </w:t>
      </w:r>
      <w:r w:rsidR="00EB2968" w:rsidRPr="00EB2968">
        <w:rPr>
          <w:rFonts w:asciiTheme="majorHAnsi" w:hAnsiTheme="majorHAnsi"/>
          <w:sz w:val="22"/>
        </w:rPr>
        <w:t xml:space="preserve">ISO documents available for purchase at </w:t>
      </w:r>
      <w:hyperlink r:id="rId29" w:history="1">
        <w:r w:rsidR="00EB2968" w:rsidRPr="00A467AC">
          <w:rPr>
            <w:rStyle w:val="Hyperlink"/>
            <w:rFonts w:asciiTheme="majorHAnsi" w:hAnsiTheme="majorHAnsi"/>
            <w:sz w:val="22"/>
          </w:rPr>
          <w:t>http://www.iso.org/iso/home/store/catalogue_ics.htm</w:t>
        </w:r>
      </w:hyperlink>
      <w:r w:rsidR="00EB2968">
        <w:rPr>
          <w:rFonts w:asciiTheme="majorHAnsi" w:hAnsiTheme="majorHAnsi"/>
          <w:sz w:val="22"/>
        </w:rPr>
        <w:t xml:space="preserve"> </w:t>
      </w:r>
      <w:r w:rsidR="00EB2968" w:rsidRPr="00EB2968">
        <w:rPr>
          <w:rFonts w:asciiTheme="majorHAnsi" w:hAnsiTheme="majorHAnsi"/>
          <w:sz w:val="22"/>
        </w:rPr>
        <w:t>or fro</w:t>
      </w:r>
      <w:r w:rsidR="00EB2968">
        <w:rPr>
          <w:rFonts w:asciiTheme="majorHAnsi" w:hAnsiTheme="majorHAnsi"/>
          <w:sz w:val="22"/>
        </w:rPr>
        <w:t>m other authorized distributors</w:t>
      </w:r>
    </w:p>
    <w:p w14:paraId="7B9B4A91" w14:textId="34AC0F31" w:rsidR="00537F01" w:rsidRDefault="00334E61">
      <w:pPr>
        <w:pStyle w:val="BodyText"/>
        <w:widowControl/>
        <w:numPr>
          <w:ilvl w:val="0"/>
          <w:numId w:val="18"/>
        </w:numPr>
        <w:tabs>
          <w:tab w:val="left" w:pos="461"/>
        </w:tabs>
        <w:spacing w:after="240"/>
        <w:jc w:val="both"/>
        <w:rPr>
          <w:rFonts w:asciiTheme="majorHAnsi" w:hAnsiTheme="majorHAnsi"/>
          <w:sz w:val="22"/>
        </w:rPr>
      </w:pPr>
      <w:r w:rsidRPr="009A3B1E">
        <w:rPr>
          <w:rFonts w:asciiTheme="majorHAnsi" w:hAnsiTheme="majorHAnsi"/>
          <w:sz w:val="22"/>
        </w:rPr>
        <w:t>Interna</w:t>
      </w:r>
      <w:r w:rsidR="00520B31">
        <w:rPr>
          <w:rFonts w:asciiTheme="majorHAnsi" w:hAnsiTheme="majorHAnsi"/>
          <w:sz w:val="22"/>
        </w:rPr>
        <w:t>tional</w:t>
      </w:r>
      <w:r w:rsidRPr="009A3B1E">
        <w:rPr>
          <w:rFonts w:asciiTheme="majorHAnsi" w:hAnsiTheme="majorHAnsi"/>
          <w:sz w:val="22"/>
        </w:rPr>
        <w:t xml:space="preserve"> Organization for Standardization (ISO). ISO/IEC 17000:2004 </w:t>
      </w:r>
      <w:r w:rsidR="00C126AF">
        <w:rPr>
          <w:rFonts w:asciiTheme="majorHAnsi" w:hAnsiTheme="majorHAnsi"/>
          <w:i/>
          <w:sz w:val="22"/>
        </w:rPr>
        <w:t>Conformity Assessment—</w:t>
      </w:r>
      <w:r w:rsidRPr="00C126AF">
        <w:rPr>
          <w:rFonts w:asciiTheme="majorHAnsi" w:hAnsiTheme="majorHAnsi"/>
          <w:i/>
          <w:sz w:val="22"/>
        </w:rPr>
        <w:t>Vocabulary and General Principles</w:t>
      </w:r>
      <w:r w:rsidRPr="009A3B1E">
        <w:rPr>
          <w:rFonts w:asciiTheme="majorHAnsi" w:hAnsiTheme="majorHAnsi"/>
          <w:sz w:val="22"/>
        </w:rPr>
        <w:t xml:space="preserve"> (Geneva, Switzerland)</w:t>
      </w:r>
      <w:r w:rsidR="00EB2968" w:rsidRPr="00EB2968">
        <w:rPr>
          <w:rFonts w:asciiTheme="majorHAnsi" w:hAnsiTheme="majorHAnsi"/>
          <w:sz w:val="22"/>
        </w:rPr>
        <w:t xml:space="preserve"> ISO documents available for purchase at </w:t>
      </w:r>
      <w:hyperlink r:id="rId30" w:history="1">
        <w:r w:rsidR="00EB2968" w:rsidRPr="00A467AC">
          <w:rPr>
            <w:rStyle w:val="Hyperlink"/>
            <w:rFonts w:asciiTheme="majorHAnsi" w:hAnsiTheme="majorHAnsi"/>
            <w:sz w:val="22"/>
          </w:rPr>
          <w:t>http://www.iso.org/iso/home/store/catalogue_ics.htm</w:t>
        </w:r>
      </w:hyperlink>
      <w:r w:rsidR="00EB2968">
        <w:rPr>
          <w:rFonts w:asciiTheme="majorHAnsi" w:hAnsiTheme="majorHAnsi"/>
          <w:sz w:val="22"/>
        </w:rPr>
        <w:t xml:space="preserve"> </w:t>
      </w:r>
      <w:r w:rsidR="00EB2968" w:rsidRPr="00EB2968">
        <w:rPr>
          <w:rFonts w:asciiTheme="majorHAnsi" w:hAnsiTheme="majorHAnsi"/>
          <w:sz w:val="22"/>
        </w:rPr>
        <w:t>or fro</w:t>
      </w:r>
      <w:r w:rsidR="00EB2968">
        <w:rPr>
          <w:rFonts w:asciiTheme="majorHAnsi" w:hAnsiTheme="majorHAnsi"/>
          <w:sz w:val="22"/>
        </w:rPr>
        <w:t>m other authorized distributors</w:t>
      </w:r>
    </w:p>
    <w:p w14:paraId="0B23E7AD" w14:textId="77777777" w:rsidR="0062079A" w:rsidRPr="009A3B1E" w:rsidRDefault="007B4B76" w:rsidP="00B52E29">
      <w:pPr>
        <w:pStyle w:val="BodyText"/>
        <w:widowControl/>
        <w:numPr>
          <w:ilvl w:val="0"/>
          <w:numId w:val="18"/>
        </w:numPr>
        <w:tabs>
          <w:tab w:val="left" w:pos="540"/>
        </w:tabs>
        <w:spacing w:after="240"/>
        <w:ind w:left="540" w:hanging="440"/>
        <w:jc w:val="both"/>
        <w:rPr>
          <w:rFonts w:asciiTheme="majorHAnsi" w:hAnsiTheme="majorHAnsi"/>
          <w:sz w:val="22"/>
        </w:rPr>
      </w:pPr>
      <w:r w:rsidRPr="00827F98">
        <w:rPr>
          <w:rFonts w:asciiTheme="majorHAnsi" w:hAnsiTheme="majorHAnsi"/>
          <w:sz w:val="22"/>
          <w:szCs w:val="22"/>
        </w:rPr>
        <w:t xml:space="preserve">International Organization for </w:t>
      </w:r>
      <w:r>
        <w:rPr>
          <w:rFonts w:asciiTheme="majorHAnsi" w:hAnsiTheme="majorHAnsi"/>
          <w:sz w:val="22"/>
          <w:szCs w:val="22"/>
        </w:rPr>
        <w:t>Standardization (ISO), ISO</w:t>
      </w:r>
      <w:r w:rsidRPr="00827F98">
        <w:rPr>
          <w:rFonts w:asciiTheme="majorHAnsi" w:hAnsiTheme="majorHAnsi"/>
          <w:sz w:val="22"/>
          <w:szCs w:val="22"/>
        </w:rPr>
        <w:t xml:space="preserve"> </w:t>
      </w:r>
      <w:r>
        <w:rPr>
          <w:rFonts w:asciiTheme="majorHAnsi" w:hAnsiTheme="majorHAnsi"/>
          <w:sz w:val="22"/>
          <w:szCs w:val="22"/>
        </w:rPr>
        <w:t xml:space="preserve">Guide </w:t>
      </w:r>
      <w:r w:rsidRPr="00827F98">
        <w:rPr>
          <w:rFonts w:asciiTheme="majorHAnsi" w:hAnsiTheme="majorHAnsi"/>
          <w:sz w:val="22"/>
          <w:szCs w:val="22"/>
        </w:rPr>
        <w:t>3</w:t>
      </w:r>
      <w:r>
        <w:rPr>
          <w:rFonts w:asciiTheme="majorHAnsi" w:hAnsiTheme="majorHAnsi"/>
          <w:sz w:val="22"/>
          <w:szCs w:val="22"/>
        </w:rPr>
        <w:t>3</w:t>
      </w:r>
      <w:r w:rsidRPr="00827F98">
        <w:rPr>
          <w:rFonts w:asciiTheme="majorHAnsi" w:hAnsiTheme="majorHAnsi"/>
          <w:sz w:val="22"/>
          <w:szCs w:val="22"/>
        </w:rPr>
        <w:t>:</w:t>
      </w:r>
      <w:r w:rsidRPr="009A3B1E">
        <w:rPr>
          <w:rFonts w:asciiTheme="majorHAnsi" w:hAnsiTheme="majorHAnsi"/>
          <w:sz w:val="22"/>
        </w:rPr>
        <w:t xml:space="preserve"> </w:t>
      </w:r>
      <w:r w:rsidR="0062079A">
        <w:rPr>
          <w:rFonts w:asciiTheme="majorHAnsi" w:hAnsiTheme="majorHAnsi"/>
          <w:sz w:val="22"/>
        </w:rPr>
        <w:t xml:space="preserve">2015 </w:t>
      </w:r>
      <w:r w:rsidR="0062079A">
        <w:rPr>
          <w:rFonts w:asciiTheme="majorHAnsi" w:hAnsiTheme="majorHAnsi"/>
          <w:i/>
          <w:sz w:val="22"/>
        </w:rPr>
        <w:t xml:space="preserve">Reference Materials – Good Practice in Using Reference Materials </w:t>
      </w:r>
      <w:r w:rsidR="0062079A">
        <w:rPr>
          <w:rFonts w:asciiTheme="majorHAnsi" w:hAnsiTheme="majorHAnsi"/>
          <w:sz w:val="22"/>
        </w:rPr>
        <w:t xml:space="preserve">(Geneva, Switzerland) </w:t>
      </w:r>
      <w:r w:rsidR="0062079A" w:rsidRPr="00EB2968">
        <w:rPr>
          <w:rFonts w:asciiTheme="majorHAnsi" w:hAnsiTheme="majorHAnsi"/>
          <w:sz w:val="22"/>
        </w:rPr>
        <w:t xml:space="preserve">ISO documents available for purchase at </w:t>
      </w:r>
      <w:hyperlink r:id="rId31" w:history="1">
        <w:r w:rsidR="0062079A" w:rsidRPr="00A467AC">
          <w:rPr>
            <w:rStyle w:val="Hyperlink"/>
            <w:rFonts w:asciiTheme="majorHAnsi" w:hAnsiTheme="majorHAnsi"/>
            <w:sz w:val="22"/>
          </w:rPr>
          <w:t>http://www.iso.org/iso/home/store/catalogue_ics.htm</w:t>
        </w:r>
      </w:hyperlink>
      <w:r w:rsidR="0062079A">
        <w:rPr>
          <w:rFonts w:asciiTheme="majorHAnsi" w:hAnsiTheme="majorHAnsi"/>
          <w:sz w:val="22"/>
        </w:rPr>
        <w:t xml:space="preserve"> </w:t>
      </w:r>
      <w:r w:rsidR="0062079A" w:rsidRPr="00EB2968">
        <w:rPr>
          <w:rFonts w:asciiTheme="majorHAnsi" w:hAnsiTheme="majorHAnsi"/>
          <w:sz w:val="22"/>
        </w:rPr>
        <w:t>or fro</w:t>
      </w:r>
      <w:r w:rsidR="0062079A">
        <w:rPr>
          <w:rFonts w:asciiTheme="majorHAnsi" w:hAnsiTheme="majorHAnsi"/>
          <w:sz w:val="22"/>
        </w:rPr>
        <w:t>m other authorized distributors</w:t>
      </w:r>
    </w:p>
    <w:p w14:paraId="3605C1A2" w14:textId="77777777" w:rsidR="0062079A" w:rsidRPr="009A3B1E" w:rsidRDefault="0062079A" w:rsidP="00B52E29">
      <w:pPr>
        <w:pStyle w:val="BodyText"/>
        <w:widowControl/>
        <w:numPr>
          <w:ilvl w:val="0"/>
          <w:numId w:val="18"/>
        </w:numPr>
        <w:tabs>
          <w:tab w:val="left" w:pos="540"/>
        </w:tabs>
        <w:spacing w:after="240"/>
        <w:ind w:left="540" w:hanging="440"/>
        <w:jc w:val="both"/>
        <w:rPr>
          <w:rFonts w:asciiTheme="majorHAnsi" w:hAnsiTheme="majorHAnsi"/>
          <w:sz w:val="22"/>
        </w:rPr>
      </w:pPr>
      <w:r w:rsidRPr="00827F98">
        <w:rPr>
          <w:rFonts w:asciiTheme="majorHAnsi" w:hAnsiTheme="majorHAnsi"/>
          <w:sz w:val="22"/>
          <w:szCs w:val="22"/>
        </w:rPr>
        <w:t xml:space="preserve">International Organization for </w:t>
      </w:r>
      <w:r>
        <w:rPr>
          <w:rFonts w:asciiTheme="majorHAnsi" w:hAnsiTheme="majorHAnsi"/>
          <w:sz w:val="22"/>
          <w:szCs w:val="22"/>
        </w:rPr>
        <w:t>Standardization (ISO), ISO</w:t>
      </w:r>
      <w:r w:rsidRPr="00827F98">
        <w:rPr>
          <w:rFonts w:asciiTheme="majorHAnsi" w:hAnsiTheme="majorHAnsi"/>
          <w:sz w:val="22"/>
          <w:szCs w:val="22"/>
        </w:rPr>
        <w:t xml:space="preserve"> </w:t>
      </w:r>
      <w:r>
        <w:rPr>
          <w:rFonts w:asciiTheme="majorHAnsi" w:hAnsiTheme="majorHAnsi"/>
          <w:sz w:val="22"/>
          <w:szCs w:val="22"/>
        </w:rPr>
        <w:t xml:space="preserve">Guide </w:t>
      </w:r>
      <w:r w:rsidRPr="00827F98">
        <w:rPr>
          <w:rFonts w:asciiTheme="majorHAnsi" w:hAnsiTheme="majorHAnsi"/>
          <w:sz w:val="22"/>
          <w:szCs w:val="22"/>
        </w:rPr>
        <w:t>3</w:t>
      </w:r>
      <w:r>
        <w:rPr>
          <w:rFonts w:asciiTheme="majorHAnsi" w:hAnsiTheme="majorHAnsi"/>
          <w:sz w:val="22"/>
          <w:szCs w:val="22"/>
        </w:rPr>
        <w:t>0</w:t>
      </w:r>
      <w:r w:rsidRPr="00827F98">
        <w:rPr>
          <w:rFonts w:asciiTheme="majorHAnsi" w:hAnsiTheme="majorHAnsi"/>
          <w:sz w:val="22"/>
          <w:szCs w:val="22"/>
        </w:rPr>
        <w:t>:</w:t>
      </w:r>
      <w:r w:rsidRPr="009A3B1E">
        <w:rPr>
          <w:rFonts w:asciiTheme="majorHAnsi" w:hAnsiTheme="majorHAnsi"/>
          <w:sz w:val="22"/>
        </w:rPr>
        <w:t xml:space="preserve"> </w:t>
      </w:r>
      <w:r>
        <w:rPr>
          <w:rFonts w:asciiTheme="majorHAnsi" w:hAnsiTheme="majorHAnsi"/>
          <w:sz w:val="22"/>
        </w:rPr>
        <w:t xml:space="preserve">2015 </w:t>
      </w:r>
      <w:r>
        <w:rPr>
          <w:rFonts w:asciiTheme="majorHAnsi" w:hAnsiTheme="majorHAnsi"/>
          <w:i/>
          <w:sz w:val="22"/>
        </w:rPr>
        <w:t xml:space="preserve">Reference Materials – Selected Terms and Definitions </w:t>
      </w:r>
      <w:r>
        <w:rPr>
          <w:rFonts w:asciiTheme="majorHAnsi" w:hAnsiTheme="majorHAnsi"/>
          <w:sz w:val="22"/>
        </w:rPr>
        <w:t xml:space="preserve">(Geneva, Switzerland) </w:t>
      </w:r>
      <w:r w:rsidRPr="00EB2968">
        <w:rPr>
          <w:rFonts w:asciiTheme="majorHAnsi" w:hAnsiTheme="majorHAnsi"/>
          <w:sz w:val="22"/>
        </w:rPr>
        <w:t xml:space="preserve">ISO documents available for purchase at </w:t>
      </w:r>
      <w:hyperlink r:id="rId32" w:history="1">
        <w:r w:rsidRPr="00A467AC">
          <w:rPr>
            <w:rStyle w:val="Hyperlink"/>
            <w:rFonts w:asciiTheme="majorHAnsi" w:hAnsiTheme="majorHAnsi"/>
            <w:sz w:val="22"/>
          </w:rPr>
          <w:t>http://www.iso.org/iso/home/store/catalogue_ics.htm</w:t>
        </w:r>
      </w:hyperlink>
      <w:r>
        <w:rPr>
          <w:rFonts w:asciiTheme="majorHAnsi" w:hAnsiTheme="majorHAnsi"/>
          <w:sz w:val="22"/>
        </w:rPr>
        <w:t xml:space="preserve"> </w:t>
      </w:r>
      <w:r w:rsidRPr="00EB2968">
        <w:rPr>
          <w:rFonts w:asciiTheme="majorHAnsi" w:hAnsiTheme="majorHAnsi"/>
          <w:sz w:val="22"/>
        </w:rPr>
        <w:t>or fro</w:t>
      </w:r>
      <w:r>
        <w:rPr>
          <w:rFonts w:asciiTheme="majorHAnsi" w:hAnsiTheme="majorHAnsi"/>
          <w:sz w:val="22"/>
        </w:rPr>
        <w:t>m other authorized distributors</w:t>
      </w:r>
    </w:p>
    <w:p w14:paraId="1D6463E5" w14:textId="77777777" w:rsidR="00201D0A" w:rsidRDefault="00486269" w:rsidP="00B52E29">
      <w:pPr>
        <w:pStyle w:val="BodyText"/>
        <w:widowControl/>
        <w:numPr>
          <w:ilvl w:val="0"/>
          <w:numId w:val="18"/>
        </w:numPr>
        <w:tabs>
          <w:tab w:val="left" w:pos="540"/>
        </w:tabs>
        <w:spacing w:after="240"/>
        <w:ind w:left="540" w:hanging="440"/>
        <w:jc w:val="both"/>
        <w:rPr>
          <w:rStyle w:val="Hyperlink"/>
          <w:rFonts w:asciiTheme="majorHAnsi" w:eastAsiaTheme="minorHAnsi" w:hAnsiTheme="majorHAnsi"/>
          <w:color w:val="auto"/>
          <w:sz w:val="22"/>
          <w:szCs w:val="22"/>
          <w:u w:val="none"/>
        </w:rPr>
      </w:pPr>
      <w:r w:rsidRPr="00827F98">
        <w:rPr>
          <w:rFonts w:asciiTheme="majorHAnsi" w:hAnsiTheme="majorHAnsi"/>
          <w:sz w:val="22"/>
          <w:szCs w:val="22"/>
        </w:rPr>
        <w:t xml:space="preserve">International Bureau of Weights and Measures (BIPM) </w:t>
      </w:r>
      <w:r w:rsidRPr="005C2C8F">
        <w:rPr>
          <w:rFonts w:asciiTheme="majorHAnsi" w:hAnsiTheme="majorHAnsi"/>
          <w:i/>
          <w:sz w:val="22"/>
          <w:szCs w:val="22"/>
        </w:rPr>
        <w:t>Key Comparison Database</w:t>
      </w:r>
      <w:r w:rsidRPr="00827F98">
        <w:rPr>
          <w:rFonts w:asciiTheme="majorHAnsi" w:hAnsiTheme="majorHAnsi"/>
          <w:w w:val="99"/>
          <w:sz w:val="22"/>
          <w:szCs w:val="22"/>
        </w:rPr>
        <w:t xml:space="preserve"> </w:t>
      </w:r>
      <w:r>
        <w:rPr>
          <w:rFonts w:asciiTheme="majorHAnsi" w:hAnsiTheme="majorHAnsi"/>
          <w:sz w:val="22"/>
          <w:szCs w:val="22"/>
        </w:rPr>
        <w:t>(KCDB), Appendix</w:t>
      </w:r>
      <w:r>
        <w:t> </w:t>
      </w:r>
      <w:r>
        <w:rPr>
          <w:rFonts w:asciiTheme="majorHAnsi" w:hAnsiTheme="majorHAnsi"/>
          <w:sz w:val="22"/>
          <w:szCs w:val="22"/>
        </w:rPr>
        <w:t>C</w:t>
      </w:r>
      <w:r w:rsidR="00CF12A8">
        <w:rPr>
          <w:rFonts w:asciiTheme="majorHAnsi" w:hAnsiTheme="majorHAnsi"/>
          <w:sz w:val="22"/>
          <w:szCs w:val="22"/>
        </w:rPr>
        <w:t xml:space="preserve"> </w:t>
      </w:r>
      <w:hyperlink r:id="rId33" w:history="1">
        <w:r w:rsidR="00CF12A8" w:rsidRPr="00CC116A">
          <w:rPr>
            <w:rStyle w:val="Hyperlink"/>
            <w:rFonts w:asciiTheme="majorHAnsi" w:hAnsiTheme="majorHAnsi"/>
          </w:rPr>
          <w:t>http://kcdb.bipm.org/appendixC/</w:t>
        </w:r>
      </w:hyperlink>
      <w:r w:rsidR="00201D0A">
        <w:rPr>
          <w:rStyle w:val="Hyperlink"/>
          <w:rFonts w:asciiTheme="majorHAnsi" w:hAnsiTheme="majorHAnsi"/>
          <w:color w:val="auto"/>
          <w:sz w:val="22"/>
          <w:szCs w:val="22"/>
          <w:u w:val="none"/>
        </w:rPr>
        <w:t xml:space="preserve"> </w:t>
      </w:r>
    </w:p>
    <w:p w14:paraId="0A5B4A17" w14:textId="094F73AA" w:rsidR="00486269" w:rsidRPr="00201D0A" w:rsidRDefault="00201D0A" w:rsidP="00B52E29">
      <w:pPr>
        <w:pStyle w:val="BodyText"/>
        <w:widowControl/>
        <w:numPr>
          <w:ilvl w:val="0"/>
          <w:numId w:val="18"/>
        </w:numPr>
        <w:tabs>
          <w:tab w:val="left" w:pos="540"/>
        </w:tabs>
        <w:spacing w:after="240"/>
        <w:ind w:left="540" w:hanging="440"/>
        <w:jc w:val="both"/>
        <w:rPr>
          <w:rFonts w:asciiTheme="majorHAnsi" w:hAnsiTheme="majorHAnsi"/>
          <w:sz w:val="22"/>
          <w:szCs w:val="22"/>
        </w:rPr>
      </w:pPr>
      <w:r>
        <w:rPr>
          <w:rStyle w:val="Hyperlink"/>
          <w:rFonts w:asciiTheme="majorHAnsi" w:hAnsiTheme="majorHAnsi"/>
          <w:color w:val="auto"/>
          <w:sz w:val="22"/>
          <w:szCs w:val="22"/>
          <w:u w:val="none"/>
        </w:rPr>
        <w:lastRenderedPageBreak/>
        <w:t xml:space="preserve">National Commission on Forensic Science, </w:t>
      </w:r>
      <w:r>
        <w:rPr>
          <w:rStyle w:val="Hyperlink"/>
          <w:rFonts w:asciiTheme="majorHAnsi" w:hAnsiTheme="majorHAnsi"/>
          <w:i/>
          <w:color w:val="auto"/>
          <w:sz w:val="22"/>
          <w:szCs w:val="22"/>
          <w:u w:val="none"/>
        </w:rPr>
        <w:t>Defining Forensic Science and Related Terms</w:t>
      </w:r>
      <w:r>
        <w:rPr>
          <w:rStyle w:val="Hyperlink"/>
          <w:rFonts w:asciiTheme="majorHAnsi" w:hAnsiTheme="majorHAnsi"/>
          <w:color w:val="auto"/>
          <w:sz w:val="22"/>
          <w:szCs w:val="22"/>
          <w:u w:val="none"/>
        </w:rPr>
        <w:t xml:space="preserve"> </w:t>
      </w:r>
      <w:hyperlink r:id="rId34" w:history="1">
        <w:r w:rsidRPr="000C57DA">
          <w:rPr>
            <w:rStyle w:val="Hyperlink"/>
            <w:rFonts w:asciiTheme="majorHAnsi" w:hAnsiTheme="majorHAnsi"/>
            <w:sz w:val="22"/>
            <w:szCs w:val="22"/>
          </w:rPr>
          <w:t>https://www.justice.gov/ncfs/file/786571/download</w:t>
        </w:r>
      </w:hyperlink>
      <w:r>
        <w:rPr>
          <w:rStyle w:val="Hyperlink"/>
          <w:rFonts w:asciiTheme="majorHAnsi" w:hAnsiTheme="majorHAnsi"/>
          <w:color w:val="auto"/>
          <w:sz w:val="22"/>
          <w:szCs w:val="22"/>
          <w:u w:val="none"/>
        </w:rPr>
        <w:t xml:space="preserve"> </w:t>
      </w:r>
    </w:p>
    <w:p w14:paraId="41A96F16" w14:textId="288704B8" w:rsidR="00CF12A8" w:rsidRDefault="00CF12A8" w:rsidP="00B52E29">
      <w:pPr>
        <w:pStyle w:val="BodyText"/>
        <w:widowControl/>
        <w:numPr>
          <w:ilvl w:val="0"/>
          <w:numId w:val="18"/>
        </w:numPr>
        <w:tabs>
          <w:tab w:val="left" w:pos="540"/>
        </w:tabs>
        <w:spacing w:after="240"/>
        <w:ind w:left="540" w:hanging="440"/>
        <w:rPr>
          <w:rFonts w:asciiTheme="majorHAnsi" w:hAnsiTheme="majorHAnsi"/>
          <w:sz w:val="22"/>
        </w:rPr>
      </w:pPr>
      <w:r>
        <w:rPr>
          <w:rFonts w:asciiTheme="majorHAnsi" w:hAnsiTheme="majorHAnsi"/>
          <w:sz w:val="22"/>
        </w:rPr>
        <w:t xml:space="preserve">Scientific Working Group on Forensic Toxicology (SWGTOX) </w:t>
      </w:r>
      <w:r>
        <w:rPr>
          <w:rFonts w:asciiTheme="majorHAnsi" w:hAnsiTheme="majorHAnsi"/>
          <w:i/>
          <w:sz w:val="22"/>
        </w:rPr>
        <w:t>Standard on the Accreditation of Forensic Toxicology Laboratories</w:t>
      </w:r>
      <w:r>
        <w:rPr>
          <w:rFonts w:asciiTheme="majorHAnsi" w:hAnsiTheme="majorHAnsi"/>
          <w:sz w:val="22"/>
        </w:rPr>
        <w:t xml:space="preserve"> </w:t>
      </w:r>
      <w:r w:rsidR="0062079A">
        <w:rPr>
          <w:rFonts w:asciiTheme="majorHAnsi" w:hAnsiTheme="majorHAnsi"/>
          <w:sz w:val="22"/>
        </w:rPr>
        <w:t xml:space="preserve">(Revision 1), February 22, 2014 </w:t>
      </w:r>
      <w:hyperlink r:id="rId35" w:history="1">
        <w:r w:rsidRPr="00191A2C">
          <w:rPr>
            <w:rStyle w:val="Hyperlink"/>
            <w:rFonts w:asciiTheme="majorHAnsi" w:hAnsiTheme="majorHAnsi"/>
            <w:sz w:val="22"/>
          </w:rPr>
          <w:t>http://www.swgtox.org/documents/SWGTOX_Accreditation.pdf</w:t>
        </w:r>
      </w:hyperlink>
    </w:p>
    <w:p w14:paraId="6A94F952" w14:textId="77777777" w:rsidR="007E3402" w:rsidRDefault="007E3402" w:rsidP="009457C5">
      <w:pPr>
        <w:pStyle w:val="BodyText"/>
        <w:widowControl/>
        <w:spacing w:after="240"/>
        <w:ind w:left="460"/>
        <w:jc w:val="both"/>
        <w:rPr>
          <w:rFonts w:asciiTheme="majorHAnsi" w:hAnsiTheme="majorHAnsi"/>
          <w:sz w:val="22"/>
          <w:highlight w:val="yellow"/>
        </w:rPr>
        <w:sectPr w:rsidR="007E3402" w:rsidSect="00B6539B">
          <w:headerReference w:type="even" r:id="rId36"/>
          <w:headerReference w:type="default" r:id="rId37"/>
          <w:footerReference w:type="default" r:id="rId38"/>
          <w:headerReference w:type="first" r:id="rId39"/>
          <w:footerReference w:type="first" r:id="rId40"/>
          <w:pgSz w:w="12240" w:h="15840" w:code="1"/>
          <w:pgMar w:top="1440" w:right="1440" w:bottom="1440" w:left="1440" w:header="720" w:footer="432" w:gutter="0"/>
          <w:pgNumType w:start="1"/>
          <w:cols w:space="720"/>
          <w:titlePg/>
        </w:sectPr>
      </w:pPr>
    </w:p>
    <w:p w14:paraId="3B9D3648" w14:textId="77777777" w:rsidR="007E3402" w:rsidRDefault="007E3402" w:rsidP="007E3402">
      <w:pPr>
        <w:tabs>
          <w:tab w:val="right" w:pos="9360"/>
        </w:tabs>
        <w:spacing w:after="240"/>
        <w:jc w:val="center"/>
        <w:rPr>
          <w:sz w:val="36"/>
          <w:szCs w:val="36"/>
        </w:rPr>
      </w:pPr>
    </w:p>
    <w:p w14:paraId="19382B5F" w14:textId="77777777" w:rsidR="007E3402" w:rsidRDefault="007E3402" w:rsidP="007E3402">
      <w:pPr>
        <w:tabs>
          <w:tab w:val="right" w:pos="9360"/>
        </w:tabs>
        <w:spacing w:after="240"/>
        <w:jc w:val="center"/>
        <w:rPr>
          <w:sz w:val="36"/>
          <w:szCs w:val="36"/>
        </w:rPr>
      </w:pPr>
    </w:p>
    <w:p w14:paraId="1AE48C5E" w14:textId="77777777" w:rsidR="007E3402" w:rsidRDefault="007E3402" w:rsidP="007E3402">
      <w:pPr>
        <w:tabs>
          <w:tab w:val="right" w:pos="9360"/>
        </w:tabs>
        <w:spacing w:after="240"/>
        <w:jc w:val="center"/>
        <w:rPr>
          <w:sz w:val="36"/>
          <w:szCs w:val="36"/>
        </w:rPr>
      </w:pPr>
    </w:p>
    <w:p w14:paraId="4CE9B61C" w14:textId="77777777" w:rsidR="007E3402" w:rsidRDefault="007E3402" w:rsidP="007E3402">
      <w:pPr>
        <w:tabs>
          <w:tab w:val="right" w:pos="9360"/>
        </w:tabs>
        <w:spacing w:after="240"/>
        <w:jc w:val="center"/>
        <w:rPr>
          <w:sz w:val="36"/>
          <w:szCs w:val="36"/>
        </w:rPr>
      </w:pPr>
    </w:p>
    <w:p w14:paraId="3CFC2058" w14:textId="77777777" w:rsidR="007E3402" w:rsidRDefault="007E3402" w:rsidP="007E3402">
      <w:pPr>
        <w:tabs>
          <w:tab w:val="right" w:pos="9360"/>
        </w:tabs>
        <w:spacing w:after="240"/>
        <w:jc w:val="center"/>
        <w:rPr>
          <w:sz w:val="36"/>
          <w:szCs w:val="36"/>
        </w:rPr>
      </w:pPr>
    </w:p>
    <w:p w14:paraId="2F71B772" w14:textId="77777777" w:rsidR="007E3402" w:rsidRDefault="007E3402" w:rsidP="007E3402">
      <w:pPr>
        <w:tabs>
          <w:tab w:val="right" w:pos="9360"/>
        </w:tabs>
        <w:spacing w:after="240"/>
        <w:jc w:val="center"/>
        <w:rPr>
          <w:sz w:val="36"/>
          <w:szCs w:val="36"/>
        </w:rPr>
      </w:pPr>
    </w:p>
    <w:p w14:paraId="38976456" w14:textId="77777777" w:rsidR="007E3402" w:rsidRDefault="007E3402" w:rsidP="007E3402">
      <w:pPr>
        <w:tabs>
          <w:tab w:val="right" w:pos="9360"/>
        </w:tabs>
        <w:spacing w:after="240"/>
        <w:jc w:val="center"/>
        <w:rPr>
          <w:sz w:val="36"/>
          <w:szCs w:val="36"/>
        </w:rPr>
      </w:pPr>
    </w:p>
    <w:p w14:paraId="22F0FB81" w14:textId="77777777" w:rsidR="007E3402" w:rsidRDefault="007E3402" w:rsidP="007E3402">
      <w:pPr>
        <w:tabs>
          <w:tab w:val="right" w:pos="9360"/>
        </w:tabs>
        <w:spacing w:after="240"/>
        <w:jc w:val="center"/>
        <w:rPr>
          <w:sz w:val="36"/>
          <w:szCs w:val="36"/>
        </w:rPr>
      </w:pPr>
    </w:p>
    <w:p w14:paraId="11ED498D" w14:textId="77777777" w:rsidR="007E3402" w:rsidRDefault="007E3402" w:rsidP="007E3402">
      <w:pPr>
        <w:tabs>
          <w:tab w:val="right" w:pos="9360"/>
        </w:tabs>
        <w:spacing w:after="240"/>
        <w:jc w:val="center"/>
        <w:rPr>
          <w:sz w:val="36"/>
          <w:szCs w:val="36"/>
        </w:rPr>
      </w:pPr>
    </w:p>
    <w:p w14:paraId="572B56DA" w14:textId="77777777" w:rsidR="007E3402" w:rsidRDefault="007E3402" w:rsidP="007E3402">
      <w:pPr>
        <w:tabs>
          <w:tab w:val="right" w:pos="9360"/>
        </w:tabs>
        <w:spacing w:after="240"/>
        <w:jc w:val="center"/>
        <w:rPr>
          <w:sz w:val="36"/>
          <w:szCs w:val="36"/>
        </w:rPr>
      </w:pPr>
    </w:p>
    <w:p w14:paraId="34AFBE9D" w14:textId="3C551BEB" w:rsidR="007E3402" w:rsidRDefault="007E3402" w:rsidP="007E3402">
      <w:pPr>
        <w:tabs>
          <w:tab w:val="right" w:pos="9360"/>
        </w:tabs>
        <w:spacing w:after="240"/>
        <w:jc w:val="center"/>
        <w:rPr>
          <w:sz w:val="36"/>
          <w:szCs w:val="36"/>
        </w:rPr>
      </w:pPr>
    </w:p>
    <w:p w14:paraId="281CDA25" w14:textId="77777777" w:rsidR="007E3402" w:rsidRDefault="007E3402" w:rsidP="007E3402">
      <w:pPr>
        <w:tabs>
          <w:tab w:val="right" w:pos="9360"/>
        </w:tabs>
        <w:spacing w:after="240"/>
        <w:jc w:val="center"/>
        <w:rPr>
          <w:sz w:val="36"/>
          <w:szCs w:val="36"/>
        </w:rPr>
      </w:pPr>
    </w:p>
    <w:p w14:paraId="55306992" w14:textId="45DDB4D0" w:rsidR="007E3402" w:rsidRDefault="007E3402" w:rsidP="007E3402">
      <w:pPr>
        <w:tabs>
          <w:tab w:val="right" w:pos="9360"/>
        </w:tabs>
        <w:spacing w:after="240"/>
        <w:jc w:val="center"/>
        <w:rPr>
          <w:sz w:val="36"/>
          <w:szCs w:val="36"/>
        </w:rPr>
      </w:pPr>
    </w:p>
    <w:p w14:paraId="656E5804" w14:textId="77777777" w:rsidR="007E3402" w:rsidRDefault="007E3402" w:rsidP="007E3402">
      <w:pPr>
        <w:tabs>
          <w:tab w:val="right" w:pos="9360"/>
        </w:tabs>
        <w:spacing w:after="240"/>
        <w:jc w:val="center"/>
        <w:rPr>
          <w:sz w:val="36"/>
          <w:szCs w:val="36"/>
        </w:rPr>
      </w:pPr>
    </w:p>
    <w:p w14:paraId="3D4EEC64" w14:textId="73C857C8" w:rsidR="007E3402" w:rsidRPr="00740D4B" w:rsidRDefault="007E3402" w:rsidP="007E3402">
      <w:pPr>
        <w:tabs>
          <w:tab w:val="right" w:pos="9360"/>
        </w:tabs>
        <w:spacing w:after="240"/>
        <w:jc w:val="center"/>
        <w:rPr>
          <w:sz w:val="36"/>
          <w:szCs w:val="36"/>
        </w:rPr>
      </w:pPr>
      <w:r w:rsidRPr="00740D4B">
        <w:rPr>
          <w:noProof/>
          <w:sz w:val="36"/>
          <w:szCs w:val="36"/>
        </w:rPr>
        <w:drawing>
          <wp:inline distT="0" distB="0" distL="0" distR="0" wp14:anchorId="60DAB4DB" wp14:editId="41591B03">
            <wp:extent cx="1628775" cy="857250"/>
            <wp:effectExtent l="0" t="0" r="952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l="23602" t="20554" r="19508" b="39427"/>
                    <a:stretch>
                      <a:fillRect/>
                    </a:stretch>
                  </pic:blipFill>
                  <pic:spPr bwMode="auto">
                    <a:xfrm>
                      <a:off x="0" y="0"/>
                      <a:ext cx="1628775" cy="857250"/>
                    </a:xfrm>
                    <a:prstGeom prst="rect">
                      <a:avLst/>
                    </a:prstGeom>
                    <a:noFill/>
                    <a:ln>
                      <a:noFill/>
                    </a:ln>
                  </pic:spPr>
                </pic:pic>
              </a:graphicData>
            </a:graphic>
          </wp:inline>
        </w:drawing>
      </w:r>
    </w:p>
    <w:p w14:paraId="7C7B7B61" w14:textId="77777777" w:rsidR="00FA7F61" w:rsidRPr="00FA7F61" w:rsidRDefault="00FA7F61" w:rsidP="00FA7F61">
      <w:pPr>
        <w:tabs>
          <w:tab w:val="right" w:pos="9360"/>
        </w:tabs>
        <w:jc w:val="center"/>
        <w:rPr>
          <w:rFonts w:ascii="Cambria" w:hAnsi="Cambria"/>
        </w:rPr>
      </w:pPr>
      <w:r w:rsidRPr="00FA7F61">
        <w:rPr>
          <w:rFonts w:ascii="Cambria" w:hAnsi="Cambria"/>
        </w:rPr>
        <w:t>Academy Standards Board</w:t>
      </w:r>
    </w:p>
    <w:p w14:paraId="28393871" w14:textId="77777777" w:rsidR="00FA7F61" w:rsidRPr="00FA7F61" w:rsidRDefault="00FA7F61" w:rsidP="00FA7F61">
      <w:pPr>
        <w:tabs>
          <w:tab w:val="right" w:pos="9360"/>
        </w:tabs>
        <w:jc w:val="center"/>
        <w:rPr>
          <w:rFonts w:ascii="Cambria" w:hAnsi="Cambria"/>
        </w:rPr>
      </w:pPr>
      <w:r w:rsidRPr="00FA7F61">
        <w:rPr>
          <w:rFonts w:ascii="Cambria" w:hAnsi="Cambria"/>
        </w:rPr>
        <w:t>410 North 21st Street</w:t>
      </w:r>
    </w:p>
    <w:p w14:paraId="2E8478D5" w14:textId="77777777" w:rsidR="00FA7F61" w:rsidRDefault="00FA7F61" w:rsidP="00FA7F61">
      <w:pPr>
        <w:spacing w:after="240"/>
        <w:jc w:val="center"/>
        <w:rPr>
          <w:rFonts w:ascii="Cambria" w:hAnsi="Cambria"/>
        </w:rPr>
      </w:pPr>
      <w:r w:rsidRPr="00FA7F61">
        <w:rPr>
          <w:rFonts w:ascii="Cambria" w:hAnsi="Cambria"/>
        </w:rPr>
        <w:t>Colorado Springs, CO 80904</w:t>
      </w:r>
    </w:p>
    <w:p w14:paraId="3A84C061" w14:textId="36BDE845" w:rsidR="00063AA3" w:rsidRPr="007E3402" w:rsidRDefault="007E3402" w:rsidP="00FA7F61">
      <w:pPr>
        <w:spacing w:after="240"/>
        <w:jc w:val="center"/>
        <w:rPr>
          <w:rFonts w:ascii="Cambria" w:hAnsi="Cambria"/>
        </w:rPr>
      </w:pPr>
      <w:hyperlink r:id="rId42" w:history="1">
        <w:r w:rsidRPr="00B00CA1">
          <w:rPr>
            <w:rFonts w:ascii="Cambria" w:hAnsi="Cambria"/>
            <w:color w:val="0000FF"/>
            <w:u w:val="single"/>
          </w:rPr>
          <w:t>http://asb.aafs.org/</w:t>
        </w:r>
      </w:hyperlink>
    </w:p>
    <w:sectPr w:rsidR="00063AA3" w:rsidRPr="007E3402" w:rsidSect="0013026C">
      <w:headerReference w:type="even" r:id="rId43"/>
      <w:headerReference w:type="default" r:id="rId44"/>
      <w:footerReference w:type="default" r:id="rId45"/>
      <w:headerReference w:type="first" r:id="rId4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28D83" w14:textId="77777777" w:rsidR="002A61ED" w:rsidRDefault="002A61ED">
      <w:r>
        <w:separator/>
      </w:r>
    </w:p>
  </w:endnote>
  <w:endnote w:type="continuationSeparator" w:id="0">
    <w:p w14:paraId="09722E21" w14:textId="77777777" w:rsidR="002A61ED" w:rsidRDefault="002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9297" w14:textId="77777777" w:rsidR="007A744F" w:rsidRDefault="007A7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CD94" w14:textId="19CF6526" w:rsidR="00B6539B" w:rsidRPr="00B6539B" w:rsidRDefault="00B6539B" w:rsidP="00B6539B">
    <w:pPr>
      <w:pStyle w:val="Footer"/>
      <w:jc w:val="center"/>
      <w:rPr>
        <w:rFonts w:asciiTheme="majorHAnsi" w:hAnsiTheme="maj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460E" w14:textId="2D6012C1" w:rsidR="00141BAA" w:rsidRPr="00FA7F61" w:rsidRDefault="00FA7F61" w:rsidP="00FA7F61">
    <w:pPr>
      <w:pStyle w:val="Footer"/>
      <w:jc w:val="center"/>
    </w:pPr>
    <w:r w:rsidRPr="009B64C8">
      <w:rPr>
        <w:rFonts w:ascii="Cambria" w:hAnsi="Cambria"/>
        <w:i/>
        <w:sz w:val="20"/>
      </w:rPr>
      <w:t>This document is copyrighted</w:t>
    </w:r>
    <w:r w:rsidRPr="009B64C8">
      <w:rPr>
        <w:rFonts w:ascii="Cambria" w:hAnsi="Cambria"/>
        <w:i/>
        <w:sz w:val="20"/>
        <w:vertAlign w:val="superscript"/>
      </w:rPr>
      <w:t xml:space="preserve"> ©</w:t>
    </w:r>
    <w:r w:rsidRPr="009B64C8">
      <w:rPr>
        <w:rFonts w:ascii="Cambria" w:hAnsi="Cambria"/>
        <w:i/>
        <w:sz w:val="20"/>
      </w:rPr>
      <w:t xml:space="preserve"> by the</w:t>
    </w:r>
    <w:r>
      <w:rPr>
        <w:rFonts w:ascii="Cambria" w:hAnsi="Cambria"/>
        <w:i/>
        <w:sz w:val="20"/>
      </w:rPr>
      <w:t xml:space="preserve"> AAFS Standards Board, LLC. 2018</w:t>
    </w:r>
    <w:r w:rsidRPr="009B64C8">
      <w:rPr>
        <w:rFonts w:ascii="Cambria" w:hAnsi="Cambria"/>
        <w:i/>
        <w:sz w:val="20"/>
      </w:rPr>
      <w:t xml:space="preserve"> All rights are reserved.</w:t>
    </w:r>
    <w:r w:rsidRPr="009B64C8">
      <w:rPr>
        <w:rFonts w:ascii="Cambria" w:hAnsi="Cambria"/>
        <w:i/>
        <w:sz w:val="20"/>
      </w:rPr>
      <w:br/>
    </w:r>
    <w:r w:rsidRPr="00584BDA">
      <w:rPr>
        <w:rFonts w:ascii="Cambria" w:hAnsi="Cambria"/>
        <w:i/>
        <w:sz w:val="20"/>
      </w:rPr>
      <w:t>410 North 21st Street</w:t>
    </w:r>
    <w:r>
      <w:rPr>
        <w:rFonts w:ascii="Cambria" w:hAnsi="Cambria"/>
        <w:i/>
        <w:sz w:val="20"/>
      </w:rPr>
      <w:t xml:space="preserve">, </w:t>
    </w:r>
    <w:r w:rsidRPr="00584BDA">
      <w:rPr>
        <w:rFonts w:ascii="Cambria" w:hAnsi="Cambria"/>
        <w:i/>
        <w:sz w:val="20"/>
      </w:rPr>
      <w:t>Colorado Springs, CO 80904</w:t>
    </w:r>
    <w:r w:rsidRPr="009B64C8">
      <w:rPr>
        <w:rFonts w:ascii="Cambria" w:hAnsi="Cambria"/>
        <w:i/>
        <w:sz w:val="20"/>
      </w:rPr>
      <w:t>, asb.aafs.org.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E96A2" w14:textId="3EE1CE66" w:rsidR="007E3402" w:rsidRPr="00B6539B" w:rsidRDefault="007E3402" w:rsidP="00B6539B">
    <w:pPr>
      <w:pStyle w:val="Footer"/>
      <w:jc w:val="center"/>
      <w:rPr>
        <w:rFonts w:asciiTheme="majorHAnsi" w:hAnsiTheme="majorHAnsi"/>
        <w:sz w:val="20"/>
      </w:rPr>
    </w:pPr>
    <w:r w:rsidRPr="007E3402">
      <w:rPr>
        <w:rFonts w:asciiTheme="majorHAnsi" w:hAnsiTheme="majorHAnsi"/>
        <w:sz w:val="20"/>
      </w:rPr>
      <w:fldChar w:fldCharType="begin"/>
    </w:r>
    <w:r w:rsidRPr="007E3402">
      <w:rPr>
        <w:rFonts w:asciiTheme="majorHAnsi" w:hAnsiTheme="majorHAnsi"/>
        <w:sz w:val="20"/>
      </w:rPr>
      <w:instrText xml:space="preserve"> PAGE   \* MERGEFORMAT </w:instrText>
    </w:r>
    <w:r w:rsidRPr="007E3402">
      <w:rPr>
        <w:rFonts w:asciiTheme="majorHAnsi" w:hAnsiTheme="majorHAnsi"/>
        <w:sz w:val="20"/>
      </w:rPr>
      <w:fldChar w:fldCharType="separate"/>
    </w:r>
    <w:r w:rsidR="0013010C">
      <w:rPr>
        <w:rFonts w:asciiTheme="majorHAnsi" w:hAnsiTheme="majorHAnsi"/>
        <w:noProof/>
        <w:sz w:val="20"/>
      </w:rPr>
      <w:t>10</w:t>
    </w:r>
    <w:r w:rsidRPr="007E3402">
      <w:rPr>
        <w:rFonts w:asciiTheme="majorHAnsi" w:hAnsiTheme="majorHAnsi"/>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C1BA" w14:textId="02C09A11" w:rsidR="00141BAA" w:rsidRPr="00B6539B" w:rsidRDefault="00141BAA" w:rsidP="00141BAA">
    <w:pPr>
      <w:pStyle w:val="Footer"/>
      <w:jc w:val="center"/>
      <w:rPr>
        <w:rFonts w:asciiTheme="majorHAnsi" w:hAnsiTheme="majorHAnsi"/>
        <w:sz w:val="20"/>
      </w:rPr>
    </w:pPr>
    <w:r w:rsidRPr="00B6539B">
      <w:rPr>
        <w:rFonts w:asciiTheme="majorHAnsi" w:hAnsiTheme="majorHAnsi"/>
        <w:sz w:val="20"/>
      </w:rPr>
      <w:fldChar w:fldCharType="begin"/>
    </w:r>
    <w:r w:rsidRPr="00B6539B">
      <w:rPr>
        <w:rFonts w:asciiTheme="majorHAnsi" w:hAnsiTheme="majorHAnsi"/>
        <w:sz w:val="20"/>
      </w:rPr>
      <w:instrText xml:space="preserve"> PAGE   \* MERGEFORMAT </w:instrText>
    </w:r>
    <w:r w:rsidRPr="00B6539B">
      <w:rPr>
        <w:rFonts w:asciiTheme="majorHAnsi" w:hAnsiTheme="majorHAnsi"/>
        <w:sz w:val="20"/>
      </w:rPr>
      <w:fldChar w:fldCharType="separate"/>
    </w:r>
    <w:r w:rsidR="0013010C">
      <w:rPr>
        <w:rFonts w:asciiTheme="majorHAnsi" w:hAnsiTheme="majorHAnsi"/>
        <w:noProof/>
        <w:sz w:val="20"/>
      </w:rPr>
      <w:t>1</w:t>
    </w:r>
    <w:r w:rsidRPr="00B6539B">
      <w:rPr>
        <w:rFonts w:asciiTheme="majorHAnsi" w:hAnsiTheme="majorHAnsi"/>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D013" w14:textId="77777777" w:rsidR="00000000" w:rsidRDefault="00000000" w:rsidP="0013026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26C07" w14:textId="77777777" w:rsidR="002A61ED" w:rsidRDefault="002A61ED">
      <w:r>
        <w:separator/>
      </w:r>
    </w:p>
  </w:footnote>
  <w:footnote w:type="continuationSeparator" w:id="0">
    <w:p w14:paraId="6077AAB8" w14:textId="77777777" w:rsidR="002A61ED" w:rsidRDefault="002A61ED">
      <w:r>
        <w:continuationSeparator/>
      </w:r>
    </w:p>
  </w:footnote>
  <w:footnote w:id="1">
    <w:p w14:paraId="41CA6D91" w14:textId="77777777" w:rsidR="00F77D5B" w:rsidRPr="007E3402" w:rsidRDefault="00F77D5B">
      <w:pPr>
        <w:pStyle w:val="FootnoteText"/>
        <w:rPr>
          <w:rFonts w:asciiTheme="majorHAnsi" w:hAnsiTheme="majorHAnsi"/>
        </w:rPr>
      </w:pPr>
      <w:r w:rsidRPr="007E3402">
        <w:rPr>
          <w:rStyle w:val="FootnoteReference"/>
          <w:rFonts w:asciiTheme="majorHAnsi" w:hAnsiTheme="majorHAnsi"/>
        </w:rPr>
        <w:footnoteRef/>
      </w:r>
      <w:r w:rsidRPr="007E3402">
        <w:rPr>
          <w:rFonts w:asciiTheme="majorHAnsi" w:hAnsiTheme="majorHAnsi"/>
        </w:rPr>
        <w:t xml:space="preserve"> More information about the BIPM is available at: </w:t>
      </w:r>
      <w:hyperlink r:id="rId1" w:history="1">
        <w:r w:rsidRPr="007E3402">
          <w:rPr>
            <w:rStyle w:val="Hyperlink"/>
            <w:rFonts w:asciiTheme="majorHAnsi" w:hAnsiTheme="majorHAnsi"/>
          </w:rPr>
          <w:t>http://www.bipm.org/en/cipm-mra/</w:t>
        </w:r>
      </w:hyperlink>
      <w:r w:rsidRPr="007E3402">
        <w:rPr>
          <w:rFonts w:asciiTheme="majorHAnsi" w:hAnsiTheme="majorHAnsi"/>
        </w:rPr>
        <w:t xml:space="preserve"> </w:t>
      </w:r>
    </w:p>
  </w:footnote>
  <w:footnote w:id="2">
    <w:p w14:paraId="05FFB368" w14:textId="77777777" w:rsidR="00F77D5B" w:rsidRPr="007E3402" w:rsidRDefault="00F77D5B">
      <w:pPr>
        <w:pStyle w:val="FootnoteText"/>
        <w:rPr>
          <w:rFonts w:asciiTheme="majorHAnsi" w:hAnsiTheme="majorHAnsi"/>
        </w:rPr>
      </w:pPr>
      <w:r w:rsidRPr="007E3402">
        <w:rPr>
          <w:rStyle w:val="FootnoteReference"/>
          <w:rFonts w:asciiTheme="majorHAnsi" w:hAnsiTheme="majorHAnsi"/>
        </w:rPr>
        <w:footnoteRef/>
      </w:r>
      <w:r w:rsidRPr="007E3402">
        <w:rPr>
          <w:rFonts w:asciiTheme="majorHAnsi" w:hAnsiTheme="majorHAnsi"/>
        </w:rPr>
        <w:t xml:space="preserve"> ILAC document available for download at</w:t>
      </w:r>
      <w:r w:rsidR="009C5FA1" w:rsidRPr="007E3402">
        <w:rPr>
          <w:rFonts w:asciiTheme="majorHAnsi" w:hAnsiTheme="majorHAnsi"/>
        </w:rPr>
        <w:t>:</w:t>
      </w:r>
      <w:r w:rsidRPr="007E3402">
        <w:rPr>
          <w:rFonts w:asciiTheme="majorHAnsi" w:hAnsiTheme="majorHAnsi"/>
        </w:rPr>
        <w:t xml:space="preserve"> </w:t>
      </w:r>
      <w:hyperlink r:id="rId2" w:history="1">
        <w:r w:rsidRPr="007E3402">
          <w:rPr>
            <w:rStyle w:val="Hyperlink"/>
            <w:rFonts w:asciiTheme="majorHAnsi" w:hAnsiTheme="majorHAnsi"/>
          </w:rPr>
          <w:t>http://ilac.org</w:t>
        </w:r>
      </w:hyperlink>
      <w:r w:rsidRPr="007E3402">
        <w:rPr>
          <w:rFonts w:asciiTheme="majorHAnsi" w:hAnsiTheme="majorHAnsi"/>
        </w:rPr>
        <w:t xml:space="preserve"> </w:t>
      </w:r>
    </w:p>
  </w:footnote>
  <w:footnote w:id="3">
    <w:p w14:paraId="3D92422C" w14:textId="77777777" w:rsidR="00CE1A53" w:rsidRPr="007E3402" w:rsidRDefault="00CE1A53">
      <w:pPr>
        <w:pStyle w:val="FootnoteText"/>
        <w:rPr>
          <w:rFonts w:asciiTheme="majorHAnsi" w:hAnsiTheme="majorHAnsi"/>
        </w:rPr>
      </w:pPr>
      <w:r w:rsidRPr="007E3402">
        <w:rPr>
          <w:rStyle w:val="FootnoteReference"/>
          <w:rFonts w:asciiTheme="majorHAnsi" w:hAnsiTheme="majorHAnsi"/>
        </w:rPr>
        <w:footnoteRef/>
      </w:r>
      <w:r w:rsidRPr="007E3402">
        <w:rPr>
          <w:rFonts w:asciiTheme="majorHAnsi" w:hAnsiTheme="majorHAnsi"/>
        </w:rPr>
        <w:t xml:space="preserve"> ISO documents available for purchase at</w:t>
      </w:r>
      <w:r w:rsidR="009C5FA1" w:rsidRPr="007E3402">
        <w:rPr>
          <w:rFonts w:asciiTheme="majorHAnsi" w:hAnsiTheme="majorHAnsi"/>
        </w:rPr>
        <w:t>:</w:t>
      </w:r>
      <w:r w:rsidRPr="007E3402">
        <w:rPr>
          <w:rFonts w:asciiTheme="majorHAnsi" w:hAnsiTheme="majorHAnsi"/>
        </w:rPr>
        <w:t xml:space="preserve"> </w:t>
      </w:r>
      <w:hyperlink r:id="rId3" w:history="1">
        <w:r w:rsidRPr="007E3402">
          <w:rPr>
            <w:rStyle w:val="Hyperlink"/>
            <w:rFonts w:asciiTheme="majorHAnsi" w:hAnsiTheme="majorHAnsi"/>
          </w:rPr>
          <w:t>http://www.iso.org/iso/home/store/catalogue_ics.htm</w:t>
        </w:r>
      </w:hyperlink>
      <w:r w:rsidRPr="007E3402">
        <w:rPr>
          <w:rFonts w:asciiTheme="majorHAnsi" w:hAnsiTheme="majorHAnsi"/>
        </w:rPr>
        <w:t xml:space="preserve"> or fro</w:t>
      </w:r>
      <w:r w:rsidR="00EB2968" w:rsidRPr="007E3402">
        <w:rPr>
          <w:rFonts w:asciiTheme="majorHAnsi" w:hAnsiTheme="majorHAnsi"/>
        </w:rPr>
        <w:t>m other authorized distributors</w:t>
      </w:r>
    </w:p>
  </w:footnote>
  <w:footnote w:id="4">
    <w:p w14:paraId="2F015DF7" w14:textId="77777777" w:rsidR="00CE1A53" w:rsidRPr="007E3402" w:rsidRDefault="00CE1A53">
      <w:pPr>
        <w:pStyle w:val="FootnoteText"/>
        <w:rPr>
          <w:rFonts w:asciiTheme="majorHAnsi" w:hAnsiTheme="majorHAnsi"/>
        </w:rPr>
      </w:pPr>
      <w:r w:rsidRPr="007E3402">
        <w:rPr>
          <w:rStyle w:val="FootnoteReference"/>
          <w:rFonts w:asciiTheme="majorHAnsi" w:hAnsiTheme="majorHAnsi"/>
        </w:rPr>
        <w:footnoteRef/>
      </w:r>
      <w:r w:rsidRPr="007E3402">
        <w:rPr>
          <w:rFonts w:asciiTheme="majorHAnsi" w:hAnsiTheme="majorHAnsi"/>
        </w:rPr>
        <w:t xml:space="preserve"> VIM available for download at</w:t>
      </w:r>
      <w:r w:rsidR="009C5FA1" w:rsidRPr="007E3402">
        <w:rPr>
          <w:rFonts w:asciiTheme="majorHAnsi" w:hAnsiTheme="majorHAnsi"/>
        </w:rPr>
        <w:t>:</w:t>
      </w:r>
      <w:r w:rsidRPr="007E3402">
        <w:rPr>
          <w:rFonts w:asciiTheme="majorHAnsi" w:hAnsiTheme="majorHAnsi"/>
        </w:rPr>
        <w:t xml:space="preserve"> </w:t>
      </w:r>
      <w:hyperlink r:id="rId4" w:history="1">
        <w:r w:rsidRPr="007E3402">
          <w:rPr>
            <w:rStyle w:val="Hyperlink"/>
            <w:rFonts w:asciiTheme="majorHAnsi" w:hAnsiTheme="majorHAnsi"/>
          </w:rPr>
          <w:t>http://www.bipm.org/en/publications/guides/vim.html</w:t>
        </w:r>
      </w:hyperlink>
      <w:r w:rsidRPr="007E3402">
        <w:rPr>
          <w:rFonts w:asciiTheme="majorHAnsi" w:hAnsiTheme="majorHAnsi"/>
        </w:rPr>
        <w:t xml:space="preserve"> </w:t>
      </w:r>
    </w:p>
  </w:footnote>
  <w:footnote w:id="5">
    <w:p w14:paraId="52B62036" w14:textId="49D91AD6" w:rsidR="00E9574B" w:rsidRPr="007E3402" w:rsidRDefault="00E9574B">
      <w:pPr>
        <w:pStyle w:val="FootnoteText"/>
        <w:rPr>
          <w:rFonts w:asciiTheme="majorHAnsi" w:hAnsiTheme="majorHAnsi"/>
        </w:rPr>
      </w:pPr>
      <w:r w:rsidRPr="007E3402">
        <w:rPr>
          <w:rStyle w:val="FootnoteReference"/>
          <w:rFonts w:asciiTheme="majorHAnsi" w:hAnsiTheme="majorHAnsi"/>
        </w:rPr>
        <w:footnoteRef/>
      </w:r>
      <w:r w:rsidRPr="007E3402">
        <w:rPr>
          <w:rFonts w:asciiTheme="majorHAnsi" w:hAnsiTheme="majorHAnsi"/>
        </w:rPr>
        <w:t xml:space="preserve"> From </w:t>
      </w:r>
      <w:r w:rsidRPr="007E3402">
        <w:rPr>
          <w:rFonts w:asciiTheme="majorHAnsi" w:hAnsiTheme="majorHAnsi"/>
          <w:i/>
        </w:rPr>
        <w:t>SWGTOX Standard on the Accreditation of Forensic Toxicology Laboratories.</w:t>
      </w:r>
    </w:p>
  </w:footnote>
  <w:footnote w:id="6">
    <w:p w14:paraId="4736A2BF" w14:textId="5047B3E9" w:rsidR="00E9574B" w:rsidRPr="007E3402" w:rsidRDefault="00E9574B">
      <w:pPr>
        <w:pStyle w:val="FootnoteText"/>
        <w:rPr>
          <w:rStyle w:val="FootnoteReference"/>
          <w:rFonts w:asciiTheme="majorHAnsi" w:hAnsiTheme="majorHAnsi"/>
        </w:rPr>
      </w:pPr>
      <w:r w:rsidRPr="007E3402">
        <w:rPr>
          <w:rStyle w:val="FootnoteReference"/>
          <w:rFonts w:asciiTheme="majorHAnsi" w:hAnsiTheme="majorHAnsi"/>
        </w:rPr>
        <w:footnoteRef/>
      </w:r>
      <w:r w:rsidRPr="007E3402">
        <w:rPr>
          <w:rFonts w:asciiTheme="majorHAnsi" w:hAnsiTheme="majorHAnsi"/>
        </w:rPr>
        <w:t xml:space="preserve"> From </w:t>
      </w:r>
      <w:r w:rsidR="00B07431" w:rsidRPr="007E3402">
        <w:rPr>
          <w:rFonts w:asciiTheme="majorHAnsi" w:hAnsiTheme="majorHAnsi"/>
          <w:szCs w:val="22"/>
        </w:rPr>
        <w:t xml:space="preserve">Joint Committee for Guides in Metrology (JCGM), </w:t>
      </w:r>
      <w:r w:rsidR="00B07431" w:rsidRPr="007E3402">
        <w:rPr>
          <w:rFonts w:asciiTheme="majorHAnsi" w:hAnsiTheme="majorHAnsi"/>
          <w:i/>
          <w:szCs w:val="22"/>
        </w:rPr>
        <w:t xml:space="preserve">International vocabulary of metrology </w:t>
      </w:r>
      <w:r w:rsidR="00B07431" w:rsidRPr="007E3402">
        <w:rPr>
          <w:rFonts w:asciiTheme="majorHAnsi" w:hAnsiTheme="majorHAnsi" w:cs="Cambria"/>
          <w:i/>
          <w:szCs w:val="22"/>
        </w:rPr>
        <w:t xml:space="preserve">– Basic and general concepts and associated terms </w:t>
      </w:r>
      <w:r w:rsidR="00B07431" w:rsidRPr="007E3402">
        <w:rPr>
          <w:rFonts w:asciiTheme="majorHAnsi" w:hAnsiTheme="majorHAnsi" w:cs="Cambria"/>
          <w:szCs w:val="22"/>
        </w:rPr>
        <w:t>(</w:t>
      </w:r>
      <w:r w:rsidR="00B07431" w:rsidRPr="007E3402">
        <w:rPr>
          <w:rFonts w:asciiTheme="majorHAnsi" w:hAnsiTheme="majorHAnsi" w:cs="Cambria"/>
          <w:bCs/>
          <w:szCs w:val="22"/>
        </w:rPr>
        <w:t>VIM</w:t>
      </w:r>
      <w:r w:rsidR="00B07431" w:rsidRPr="007E3402">
        <w:rPr>
          <w:rFonts w:asciiTheme="majorHAnsi" w:hAnsiTheme="majorHAnsi" w:cs="Cambria"/>
          <w:szCs w:val="22"/>
        </w:rPr>
        <w:t>)</w:t>
      </w:r>
      <w:r w:rsidR="00B07431" w:rsidRPr="007E3402">
        <w:rPr>
          <w:rFonts w:asciiTheme="majorHAnsi" w:hAnsiTheme="majorHAnsi" w:cs="Cambria"/>
          <w:i/>
          <w:szCs w:val="22"/>
        </w:rPr>
        <w:t xml:space="preserve">, </w:t>
      </w:r>
      <w:r w:rsidR="00B07431" w:rsidRPr="007E3402">
        <w:rPr>
          <w:rFonts w:asciiTheme="majorHAnsi" w:hAnsiTheme="majorHAnsi" w:cs="Cambria"/>
          <w:szCs w:val="22"/>
        </w:rPr>
        <w:t>3rd ed</w:t>
      </w:r>
      <w:r w:rsidR="00B07431" w:rsidRPr="007E3402">
        <w:rPr>
          <w:rFonts w:asciiTheme="majorHAnsi" w:hAnsiTheme="majorHAnsi" w:cs="Cambria"/>
          <w:i/>
          <w:szCs w:val="22"/>
        </w:rPr>
        <w:t xml:space="preserve">. </w:t>
      </w:r>
      <w:r w:rsidR="00B07431" w:rsidRPr="007E3402">
        <w:rPr>
          <w:rFonts w:asciiTheme="majorHAnsi" w:hAnsiTheme="majorHAnsi" w:cs="Cambria"/>
          <w:szCs w:val="22"/>
        </w:rPr>
        <w:t>(</w:t>
      </w:r>
      <w:r w:rsidR="00B07431" w:rsidRPr="007E3402">
        <w:rPr>
          <w:rFonts w:asciiTheme="majorHAnsi" w:hAnsiTheme="majorHAnsi" w:cs="Cambria"/>
          <w:szCs w:val="22"/>
        </w:rPr>
        <w:t>Sèvres, France:</w:t>
      </w:r>
      <w:r w:rsidR="00B07431" w:rsidRPr="007E3402">
        <w:rPr>
          <w:rFonts w:asciiTheme="majorHAnsi" w:hAnsiTheme="majorHAnsi" w:cs="Cambria"/>
          <w:w w:val="99"/>
          <w:szCs w:val="22"/>
        </w:rPr>
        <w:t xml:space="preserve"> </w:t>
      </w:r>
      <w:r w:rsidR="00B07431" w:rsidRPr="007E3402">
        <w:rPr>
          <w:rFonts w:asciiTheme="majorHAnsi" w:hAnsiTheme="majorHAnsi" w:cs="Cambria"/>
          <w:szCs w:val="22"/>
        </w:rPr>
        <w:t>International Bureau of Weights and Measures [BIPM]-JCGM 200, 2012) (2008 with</w:t>
      </w:r>
      <w:r w:rsidR="00B07431" w:rsidRPr="007E3402">
        <w:rPr>
          <w:rFonts w:asciiTheme="majorHAnsi" w:hAnsiTheme="majorHAnsi" w:cs="Cambria"/>
          <w:w w:val="99"/>
          <w:szCs w:val="22"/>
        </w:rPr>
        <w:t xml:space="preserve"> </w:t>
      </w:r>
      <w:r w:rsidR="00B07431" w:rsidRPr="007E3402">
        <w:rPr>
          <w:rFonts w:asciiTheme="majorHAnsi" w:hAnsiTheme="majorHAnsi" w:cs="Cambria"/>
          <w:szCs w:val="22"/>
        </w:rPr>
        <w:t xml:space="preserve">minor corrections) </w:t>
      </w:r>
      <w:r w:rsidRPr="007E3402">
        <w:rPr>
          <w:rStyle w:val="FootnoteReference"/>
          <w:rFonts w:asciiTheme="majorHAnsi" w:hAnsiTheme="majorHAnsi"/>
          <w:sz w:val="18"/>
        </w:rPr>
        <w:t xml:space="preserve"> </w:t>
      </w:r>
    </w:p>
  </w:footnote>
  <w:footnote w:id="7">
    <w:p w14:paraId="2E3F100C" w14:textId="586CB48C" w:rsidR="00063AA3" w:rsidRPr="007E3402" w:rsidRDefault="00063AA3">
      <w:pPr>
        <w:pStyle w:val="FootnoteText"/>
        <w:rPr>
          <w:rFonts w:asciiTheme="majorHAnsi" w:hAnsiTheme="majorHAnsi"/>
        </w:rPr>
      </w:pPr>
      <w:r w:rsidRPr="007E3402">
        <w:rPr>
          <w:rStyle w:val="FootnoteReference"/>
          <w:rFonts w:asciiTheme="majorHAnsi" w:hAnsiTheme="majorHAnsi"/>
        </w:rPr>
        <w:footnoteRef/>
      </w:r>
      <w:r w:rsidRPr="007E3402">
        <w:rPr>
          <w:rFonts w:asciiTheme="majorHAnsi" w:hAnsiTheme="majorHAnsi"/>
        </w:rPr>
        <w:t xml:space="preserve"> From ISO Guide 30: 2015</w:t>
      </w:r>
    </w:p>
  </w:footnote>
  <w:footnote w:id="8">
    <w:p w14:paraId="627E873F" w14:textId="2D7CBC4A" w:rsidR="00890FC3" w:rsidRPr="007E3402" w:rsidRDefault="00890FC3" w:rsidP="00CC116A">
      <w:pPr>
        <w:pStyle w:val="FootnoteText"/>
        <w:rPr>
          <w:rFonts w:asciiTheme="majorHAnsi" w:hAnsiTheme="majorHAnsi"/>
        </w:rPr>
      </w:pPr>
      <w:r w:rsidRPr="007E3402">
        <w:rPr>
          <w:rStyle w:val="FootnoteReference"/>
          <w:rFonts w:asciiTheme="majorHAnsi" w:hAnsiTheme="majorHAnsi"/>
        </w:rPr>
        <w:footnoteRef/>
      </w:r>
      <w:r w:rsidRPr="007E3402">
        <w:rPr>
          <w:rFonts w:asciiTheme="majorHAnsi" w:hAnsiTheme="majorHAnsi"/>
        </w:rPr>
        <w:t xml:space="preserve"> See “Sample Procedure for Method Validation” at </w:t>
      </w:r>
      <w:hyperlink r:id="rId5" w:history="1">
        <w:r w:rsidRPr="007E3402">
          <w:rPr>
            <w:rStyle w:val="Hyperlink"/>
            <w:rFonts w:asciiTheme="majorHAnsi" w:hAnsiTheme="majorHAnsi"/>
          </w:rPr>
          <w:t>https://www.nist.gov/document/sapmethodvalidation2016-12-21doc</w:t>
        </w:r>
      </w:hyperlink>
      <w:r w:rsidRPr="007E3402">
        <w:rPr>
          <w:rFonts w:asciiTheme="majorHAnsi" w:hAnsiTheme="majorHAnsi"/>
        </w:rPr>
        <w:t xml:space="preserve"> </w:t>
      </w:r>
    </w:p>
  </w:footnote>
  <w:footnote w:id="9">
    <w:p w14:paraId="14AB71BF" w14:textId="619B1163" w:rsidR="001D335B" w:rsidRPr="007E3402" w:rsidRDefault="001D335B">
      <w:pPr>
        <w:pStyle w:val="FootnoteText"/>
        <w:rPr>
          <w:rFonts w:asciiTheme="majorHAnsi" w:hAnsiTheme="majorHAnsi"/>
        </w:rPr>
      </w:pPr>
      <w:r w:rsidRPr="007E3402">
        <w:rPr>
          <w:rStyle w:val="FootnoteReference"/>
          <w:rFonts w:asciiTheme="majorHAnsi" w:hAnsiTheme="majorHAnsi"/>
        </w:rPr>
        <w:footnoteRef/>
      </w:r>
      <w:r w:rsidRPr="007E3402">
        <w:rPr>
          <w:rFonts w:asciiTheme="majorHAnsi" w:hAnsiTheme="majorHAnsi"/>
        </w:rPr>
        <w:t xml:space="preserve"> Reference to ILAC P10.</w:t>
      </w:r>
    </w:p>
  </w:footnote>
  <w:footnote w:id="10">
    <w:p w14:paraId="2B1776C5" w14:textId="77777777" w:rsidR="00032424" w:rsidRPr="007E3402" w:rsidRDefault="00032424">
      <w:pPr>
        <w:pStyle w:val="FootnoteText"/>
      </w:pPr>
      <w:r w:rsidRPr="007E3402">
        <w:rPr>
          <w:rStyle w:val="FootnoteReference"/>
        </w:rPr>
        <w:footnoteRef/>
      </w:r>
      <w:r w:rsidRPr="007E3402">
        <w:t xml:space="preserve"> </w:t>
      </w:r>
      <w:r w:rsidR="00691807" w:rsidRPr="007E3402">
        <w:rPr>
          <w:rFonts w:asciiTheme="majorHAnsi" w:hAnsiTheme="majorHAnsi"/>
        </w:rPr>
        <w:t>Calibrators may be undiluted CRM(s) or</w:t>
      </w:r>
      <w:r w:rsidR="00691807" w:rsidRPr="007E3402">
        <w:rPr>
          <w:rFonts w:asciiTheme="majorHAnsi" w:hAnsiTheme="majorHAnsi"/>
          <w:w w:val="99"/>
        </w:rPr>
        <w:t xml:space="preserve"> </w:t>
      </w:r>
      <w:r w:rsidR="00691807" w:rsidRPr="007E3402">
        <w:rPr>
          <w:rFonts w:asciiTheme="majorHAnsi" w:hAnsiTheme="majorHAnsi"/>
        </w:rPr>
        <w:t>calibrators prepared using appropriately calibrated equipment and CRMs, or reference</w:t>
      </w:r>
      <w:r w:rsidR="00691807" w:rsidRPr="007E3402">
        <w:rPr>
          <w:rFonts w:asciiTheme="majorHAnsi" w:hAnsiTheme="majorHAnsi"/>
          <w:w w:val="99"/>
        </w:rPr>
        <w:t xml:space="preserve"> </w:t>
      </w:r>
      <w:r w:rsidR="00691807" w:rsidRPr="007E3402">
        <w:rPr>
          <w:rFonts w:asciiTheme="majorHAnsi" w:hAnsiTheme="majorHAnsi"/>
        </w:rPr>
        <w:t>material(s) (RM) shown to be fit for purpose, as defined in 4.2.4.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ACDB" w14:textId="1D8061B5" w:rsidR="007A744F" w:rsidRDefault="007A744F">
    <w:pPr>
      <w:pStyle w:val="Header"/>
    </w:pPr>
    <w:r>
      <w:rPr>
        <w:noProof/>
      </w:rPr>
      <w:pict w14:anchorId="05A17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2516" o:spid="_x0000_s1026" type="#_x0000_t136" style="position:absolute;margin-left:0;margin-top:0;width:618.5pt;height:41.2pt;rotation:315;z-index:-251655168;mso-position-horizontal:center;mso-position-horizontal-relative:margin;mso-position-vertical:center;mso-position-vertical-relative:margin" o:allowincell="f" fillcolor="#c00000" stroked="f">
          <v:textpath style="font-family:&quot;Cambria&quot;;font-size:1pt" string="This Document Has Been Superse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53749" w14:textId="71028A94" w:rsidR="00B6539B" w:rsidRPr="00B6539B" w:rsidRDefault="007A744F">
    <w:pPr>
      <w:pStyle w:val="Header"/>
      <w:rPr>
        <w:rFonts w:asciiTheme="majorHAnsi" w:hAnsiTheme="majorHAnsi"/>
        <w:sz w:val="20"/>
      </w:rPr>
    </w:pPr>
    <w:r>
      <w:rPr>
        <w:noProof/>
      </w:rPr>
      <w:pict w14:anchorId="4EFA3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2517" o:spid="_x0000_s1027" type="#_x0000_t136" style="position:absolute;margin-left:0;margin-top:0;width:618.5pt;height:41.2pt;rotation:315;z-index:-251653120;mso-position-horizontal:center;mso-position-horizontal-relative:margin;mso-position-vertical:center;mso-position-vertical-relative:margin" o:allowincell="f" fillcolor="#c00000" stroked="f">
          <v:textpath style="font-family:&quot;Cambria&quot;;font-size:1pt" string="This Document Has Been Superseded"/>
        </v:shape>
      </w:pict>
    </w:r>
    <w:r w:rsidR="00B6539B" w:rsidRPr="00B6539B">
      <w:rPr>
        <w:rFonts w:asciiTheme="majorHAnsi" w:hAnsiTheme="majorHAnsi"/>
        <w:sz w:val="20"/>
      </w:rPr>
      <w:tab/>
    </w:r>
    <w:r w:rsidR="00B6539B" w:rsidRPr="00B6539B">
      <w:rPr>
        <w:rFonts w:asciiTheme="majorHAnsi" w:hAnsiTheme="majorHAnsi"/>
        <w:sz w:val="20"/>
      </w:rPr>
      <w:tab/>
    </w:r>
    <w:r w:rsidR="00A82566">
      <w:rPr>
        <w:rFonts w:asciiTheme="majorHAnsi" w:hAnsiTheme="majorHAnsi"/>
        <w:sz w:val="20"/>
      </w:rPr>
      <w:t>ANSI/</w:t>
    </w:r>
    <w:r w:rsidR="00B6539B" w:rsidRPr="00B6539B">
      <w:rPr>
        <w:rFonts w:asciiTheme="majorHAnsi" w:hAnsiTheme="majorHAnsi"/>
        <w:sz w:val="20"/>
      </w:rPr>
      <w:t>ASB Standard 017, 1</w:t>
    </w:r>
    <w:r w:rsidR="00B6539B" w:rsidRPr="00B6539B">
      <w:rPr>
        <w:rFonts w:asciiTheme="majorHAnsi" w:hAnsiTheme="majorHAnsi"/>
        <w:sz w:val="20"/>
        <w:vertAlign w:val="superscript"/>
      </w:rPr>
      <w:t>st</w:t>
    </w:r>
    <w:r w:rsidR="004131FB">
      <w:rPr>
        <w:rFonts w:asciiTheme="majorHAnsi" w:hAnsiTheme="majorHAnsi"/>
        <w:sz w:val="20"/>
      </w:rPr>
      <w:t xml:space="preserve"> Ed.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2AC7" w14:textId="65C93889" w:rsidR="007A744F" w:rsidRDefault="007A744F">
    <w:pPr>
      <w:pStyle w:val="Header"/>
    </w:pPr>
    <w:r>
      <w:rPr>
        <w:noProof/>
      </w:rPr>
      <w:pict w14:anchorId="578A0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2515" o:spid="_x0000_s1025" type="#_x0000_t136" style="position:absolute;margin-left:0;margin-top:0;width:618.5pt;height:41.2pt;rotation:315;z-index:-251657216;mso-position-horizontal:center;mso-position-horizontal-relative:margin;mso-position-vertical:center;mso-position-vertical-relative:margin" o:allowincell="f" fillcolor="#c00000" stroked="f">
          <v:textpath style="font-family:&quot;Cambria&quot;;font-size:1pt" string="This Document Has Been Supersed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A21D" w14:textId="62063E14" w:rsidR="0070456C" w:rsidRDefault="007A744F">
    <w:pPr>
      <w:pStyle w:val="Header"/>
    </w:pPr>
    <w:r>
      <w:rPr>
        <w:noProof/>
      </w:rPr>
      <w:pict w14:anchorId="0BFC1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2519" o:spid="_x0000_s1029" type="#_x0000_t136" style="position:absolute;margin-left:0;margin-top:0;width:618.5pt;height:41.2pt;rotation:315;z-index:-251649024;mso-position-horizontal:center;mso-position-horizontal-relative:margin;mso-position-vertical:center;mso-position-vertical-relative:margin" o:allowincell="f" fillcolor="#c00000" stroked="f">
          <v:textpath style="font-family:&quot;Cambria&quot;;font-size:1pt" string="This Document Has Been Supersed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4C2D" w14:textId="5E7A4C74" w:rsidR="0070456C" w:rsidRPr="00B6539B" w:rsidRDefault="007A744F">
    <w:pPr>
      <w:pStyle w:val="Header"/>
      <w:rPr>
        <w:rFonts w:asciiTheme="majorHAnsi" w:hAnsiTheme="majorHAnsi"/>
        <w:sz w:val="20"/>
      </w:rPr>
    </w:pPr>
    <w:r>
      <w:rPr>
        <w:noProof/>
      </w:rPr>
      <w:pict w14:anchorId="0A32E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2520" o:spid="_x0000_s1030" type="#_x0000_t136" style="position:absolute;margin-left:0;margin-top:0;width:618.5pt;height:41.2pt;rotation:315;z-index:-251646976;mso-position-horizontal:center;mso-position-horizontal-relative:margin;mso-position-vertical:center;mso-position-vertical-relative:margin" o:allowincell="f" fillcolor="#c00000" stroked="f">
          <v:textpath style="font-family:&quot;Cambria&quot;;font-size:1pt" string="This Document Has Been Superseded"/>
        </v:shape>
      </w:pict>
    </w:r>
    <w:r w:rsidR="00B6539B" w:rsidRPr="00B6539B">
      <w:rPr>
        <w:rFonts w:asciiTheme="majorHAnsi" w:hAnsiTheme="majorHAnsi"/>
        <w:sz w:val="20"/>
      </w:rPr>
      <w:tab/>
    </w:r>
    <w:r w:rsidR="00B6539B" w:rsidRPr="00B6539B">
      <w:rPr>
        <w:rFonts w:asciiTheme="majorHAnsi" w:hAnsiTheme="majorHAnsi"/>
        <w:sz w:val="20"/>
      </w:rPr>
      <w:tab/>
    </w:r>
    <w:r w:rsidR="00A82566">
      <w:rPr>
        <w:rFonts w:asciiTheme="majorHAnsi" w:hAnsiTheme="majorHAnsi"/>
        <w:sz w:val="20"/>
      </w:rPr>
      <w:t>ANSI/</w:t>
    </w:r>
    <w:r w:rsidR="00B6539B" w:rsidRPr="00B6539B">
      <w:rPr>
        <w:rFonts w:asciiTheme="majorHAnsi" w:hAnsiTheme="majorHAnsi"/>
        <w:sz w:val="20"/>
      </w:rPr>
      <w:t>ASB Standard 017, 1</w:t>
    </w:r>
    <w:r w:rsidR="00B6539B" w:rsidRPr="00B6539B">
      <w:rPr>
        <w:rFonts w:asciiTheme="majorHAnsi" w:hAnsiTheme="majorHAnsi"/>
        <w:sz w:val="20"/>
        <w:vertAlign w:val="superscript"/>
      </w:rPr>
      <w:t>st</w:t>
    </w:r>
    <w:r w:rsidR="004131FB">
      <w:rPr>
        <w:rFonts w:asciiTheme="majorHAnsi" w:hAnsiTheme="majorHAnsi"/>
        <w:sz w:val="20"/>
      </w:rPr>
      <w:t xml:space="preserve"> Ed.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7703" w14:textId="3FCA158C" w:rsidR="0070456C" w:rsidRPr="00B6539B" w:rsidRDefault="007A744F">
    <w:pPr>
      <w:pStyle w:val="Header"/>
      <w:rPr>
        <w:rFonts w:asciiTheme="majorHAnsi" w:hAnsiTheme="majorHAnsi"/>
        <w:sz w:val="20"/>
      </w:rPr>
    </w:pPr>
    <w:r>
      <w:rPr>
        <w:noProof/>
      </w:rPr>
      <w:pict w14:anchorId="4DBBF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2518" o:spid="_x0000_s1028" type="#_x0000_t136" style="position:absolute;margin-left:0;margin-top:0;width:618.5pt;height:41.2pt;rotation:315;z-index:-251651072;mso-position-horizontal:center;mso-position-horizontal-relative:margin;mso-position-vertical:center;mso-position-vertical-relative:margin" o:allowincell="f" fillcolor="#c00000" stroked="f">
          <v:textpath style="font-family:&quot;Cambria&quot;;font-size:1pt" string="This Document Has Been Superseded"/>
        </v:shape>
      </w:pict>
    </w:r>
    <w:r w:rsidR="00B6539B" w:rsidRPr="00B6539B">
      <w:rPr>
        <w:rFonts w:asciiTheme="majorHAnsi" w:hAnsiTheme="majorHAnsi"/>
        <w:sz w:val="20"/>
      </w:rPr>
      <w:tab/>
    </w:r>
    <w:r w:rsidR="00B6539B" w:rsidRPr="00B6539B">
      <w:rPr>
        <w:rFonts w:asciiTheme="majorHAnsi" w:hAnsiTheme="majorHAnsi"/>
        <w:sz w:val="20"/>
      </w:rPr>
      <w:tab/>
    </w:r>
    <w:r w:rsidR="00A82566">
      <w:rPr>
        <w:rFonts w:asciiTheme="majorHAnsi" w:hAnsiTheme="majorHAnsi"/>
        <w:sz w:val="20"/>
      </w:rPr>
      <w:t>ANSI/</w:t>
    </w:r>
    <w:r w:rsidR="00B6539B" w:rsidRPr="00B6539B">
      <w:rPr>
        <w:rFonts w:asciiTheme="majorHAnsi" w:hAnsiTheme="majorHAnsi"/>
        <w:sz w:val="20"/>
      </w:rPr>
      <w:t>ASB Standard 017, 1</w:t>
    </w:r>
    <w:r w:rsidR="00B6539B" w:rsidRPr="00B6539B">
      <w:rPr>
        <w:rFonts w:asciiTheme="majorHAnsi" w:hAnsiTheme="majorHAnsi"/>
        <w:sz w:val="20"/>
        <w:vertAlign w:val="superscript"/>
      </w:rPr>
      <w:t>st</w:t>
    </w:r>
    <w:r w:rsidR="004131FB">
      <w:rPr>
        <w:rFonts w:asciiTheme="majorHAnsi" w:hAnsiTheme="majorHAnsi"/>
        <w:sz w:val="20"/>
      </w:rPr>
      <w:t xml:space="preserve"> Ed.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C127" w14:textId="23D6AE2D" w:rsidR="00000000" w:rsidRDefault="007A744F">
    <w:pPr>
      <w:pStyle w:val="Header"/>
    </w:pPr>
    <w:r>
      <w:rPr>
        <w:noProof/>
      </w:rPr>
      <w:pict w14:anchorId="74CAD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2522" o:spid="_x0000_s1032" type="#_x0000_t136" style="position:absolute;margin-left:0;margin-top:0;width:618.5pt;height:41.2pt;rotation:315;z-index:-251642880;mso-position-horizontal:center;mso-position-horizontal-relative:margin;mso-position-vertical:center;mso-position-vertical-relative:margin" o:allowincell="f" fillcolor="#c00000" stroked="f">
          <v:textpath style="font-family:&quot;Cambria&quot;;font-size:1pt" string="This Document Has Been Supersed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FE68" w14:textId="2FF8B3C9" w:rsidR="00000000" w:rsidRPr="00217514" w:rsidRDefault="007A744F" w:rsidP="00217514">
    <w:pPr>
      <w:pStyle w:val="Header"/>
      <w:jc w:val="right"/>
      <w:rPr>
        <w:rFonts w:ascii="Cambria" w:hAnsi="Cambria"/>
        <w:sz w:val="20"/>
        <w:szCs w:val="20"/>
      </w:rPr>
    </w:pPr>
    <w:r>
      <w:rPr>
        <w:noProof/>
      </w:rPr>
      <w:pict w14:anchorId="7A873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2523" o:spid="_x0000_s1033" type="#_x0000_t136" style="position:absolute;left:0;text-align:left;margin-left:0;margin-top:0;width:618.5pt;height:41.2pt;rotation:315;z-index:-251640832;mso-position-horizontal:center;mso-position-horizontal-relative:margin;mso-position-vertical:center;mso-position-vertical-relative:margin" o:allowincell="f" fillcolor="#c00000" stroked="f">
          <v:textpath style="font-family:&quot;Cambria&quot;;font-size:1pt" string="This Document Has Been Superseded"/>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1E7D" w14:textId="12F7ED39" w:rsidR="00000000" w:rsidRDefault="007A744F">
    <w:pPr>
      <w:pStyle w:val="Header"/>
    </w:pPr>
    <w:r>
      <w:rPr>
        <w:noProof/>
      </w:rPr>
      <w:pict w14:anchorId="51F08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2521" o:spid="_x0000_s1031" type="#_x0000_t136" style="position:absolute;margin-left:0;margin-top:0;width:618.5pt;height:41.2pt;rotation:315;z-index:-251644928;mso-position-horizontal:center;mso-position-horizontal-relative:margin;mso-position-vertical:center;mso-position-vertical-relative:margin" o:allowincell="f" fillcolor="#c00000" stroked="f">
          <v:textpath style="font-family:&quot;Cambria&quot;;font-size:1pt" string="This Document Has Been Superse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2DE"/>
    <w:multiLevelType w:val="multilevel"/>
    <w:tmpl w:val="9A32095A"/>
    <w:lvl w:ilvl="0">
      <w:start w:val="4"/>
      <w:numFmt w:val="decimal"/>
      <w:lvlText w:val="%1"/>
      <w:lvlJc w:val="left"/>
      <w:pPr>
        <w:ind w:left="492" w:hanging="492"/>
      </w:pPr>
      <w:rPr>
        <w:rFonts w:hint="default"/>
      </w:rPr>
    </w:lvl>
    <w:lvl w:ilvl="1">
      <w:start w:val="2"/>
      <w:numFmt w:val="decimal"/>
      <w:lvlText w:val="%1.%2"/>
      <w:lvlJc w:val="left"/>
      <w:pPr>
        <w:ind w:left="1272" w:hanging="492"/>
      </w:pPr>
      <w:rPr>
        <w:rFonts w:hint="default"/>
      </w:rPr>
    </w:lvl>
    <w:lvl w:ilvl="2">
      <w:start w:val="2"/>
      <w:numFmt w:val="decimal"/>
      <w:lvlText w:val="%1.%2.%3"/>
      <w:lvlJc w:val="left"/>
      <w:pPr>
        <w:ind w:left="2280" w:hanging="720"/>
      </w:pPr>
      <w:rPr>
        <w:rFonts w:hint="default"/>
      </w:rPr>
    </w:lvl>
    <w:lvl w:ilvl="3">
      <w:start w:val="1"/>
      <w:numFmt w:val="lowerLetter"/>
      <w:lvlText w:val="%4."/>
      <w:lvlJc w:val="left"/>
      <w:pPr>
        <w:ind w:left="2520" w:hanging="720"/>
      </w:pPr>
      <w:rPr>
        <w:rFonts w:hint="default"/>
        <w:b w:val="0"/>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6FD3F73"/>
    <w:multiLevelType w:val="multilevel"/>
    <w:tmpl w:val="C3A2C9EE"/>
    <w:lvl w:ilvl="0">
      <w:start w:val="4"/>
      <w:numFmt w:val="decimal"/>
      <w:lvlText w:val="%1"/>
      <w:lvlJc w:val="left"/>
      <w:pPr>
        <w:ind w:left="1881" w:hanging="721"/>
      </w:pPr>
      <w:rPr>
        <w:rFonts w:hint="default"/>
      </w:rPr>
    </w:lvl>
    <w:lvl w:ilvl="1">
      <w:start w:val="1"/>
      <w:numFmt w:val="decimal"/>
      <w:lvlText w:val="%1.%2"/>
      <w:lvlJc w:val="left"/>
      <w:pPr>
        <w:ind w:left="1881" w:hanging="721"/>
      </w:pPr>
      <w:rPr>
        <w:rFonts w:hint="default"/>
      </w:rPr>
    </w:lvl>
    <w:lvl w:ilvl="2">
      <w:start w:val="2"/>
      <w:numFmt w:val="decimal"/>
      <w:lvlText w:val="%1.%2.%3"/>
      <w:lvlJc w:val="left"/>
      <w:pPr>
        <w:ind w:left="721" w:hanging="721"/>
      </w:pPr>
      <w:rPr>
        <w:rFonts w:asciiTheme="majorHAnsi" w:eastAsia="Calibri" w:hAnsiTheme="majorHAnsi" w:hint="default"/>
        <w:b/>
        <w:sz w:val="22"/>
        <w:szCs w:val="24"/>
      </w:rPr>
    </w:lvl>
    <w:lvl w:ilvl="3">
      <w:start w:val="1"/>
      <w:numFmt w:val="lowerLetter"/>
      <w:lvlText w:val="%4."/>
      <w:lvlJc w:val="left"/>
      <w:pPr>
        <w:ind w:left="2601" w:hanging="720"/>
      </w:pPr>
      <w:rPr>
        <w:rFonts w:ascii="Cambria" w:eastAsia="Cambria" w:hAnsi="Cambria" w:hint="default"/>
        <w:sz w:val="22"/>
        <w:szCs w:val="24"/>
      </w:rPr>
    </w:lvl>
    <w:lvl w:ilvl="4">
      <w:start w:val="1"/>
      <w:numFmt w:val="bullet"/>
      <w:lvlText w:val="•"/>
      <w:lvlJc w:val="left"/>
      <w:pPr>
        <w:ind w:left="4800" w:hanging="720"/>
      </w:pPr>
      <w:rPr>
        <w:rFonts w:hint="default"/>
      </w:rPr>
    </w:lvl>
    <w:lvl w:ilvl="5">
      <w:start w:val="1"/>
      <w:numFmt w:val="bullet"/>
      <w:lvlText w:val="•"/>
      <w:lvlJc w:val="left"/>
      <w:pPr>
        <w:ind w:left="5533" w:hanging="720"/>
      </w:pPr>
      <w:rPr>
        <w:rFonts w:hint="default"/>
      </w:rPr>
    </w:lvl>
    <w:lvl w:ilvl="6">
      <w:start w:val="1"/>
      <w:numFmt w:val="bullet"/>
      <w:lvlText w:val="•"/>
      <w:lvlJc w:val="left"/>
      <w:pPr>
        <w:ind w:left="6267" w:hanging="720"/>
      </w:pPr>
      <w:rPr>
        <w:rFonts w:hint="default"/>
      </w:rPr>
    </w:lvl>
    <w:lvl w:ilvl="7">
      <w:start w:val="1"/>
      <w:numFmt w:val="bullet"/>
      <w:lvlText w:val="•"/>
      <w:lvlJc w:val="left"/>
      <w:pPr>
        <w:ind w:left="7000" w:hanging="720"/>
      </w:pPr>
      <w:rPr>
        <w:rFonts w:hint="default"/>
      </w:rPr>
    </w:lvl>
    <w:lvl w:ilvl="8">
      <w:start w:val="1"/>
      <w:numFmt w:val="bullet"/>
      <w:lvlText w:val="•"/>
      <w:lvlJc w:val="left"/>
      <w:pPr>
        <w:ind w:left="7733" w:hanging="720"/>
      </w:pPr>
      <w:rPr>
        <w:rFonts w:hint="default"/>
      </w:rPr>
    </w:lvl>
  </w:abstractNum>
  <w:abstractNum w:abstractNumId="2" w15:restartNumberingAfterBreak="0">
    <w:nsid w:val="0BDD583F"/>
    <w:multiLevelType w:val="multilevel"/>
    <w:tmpl w:val="4D3C66B4"/>
    <w:lvl w:ilvl="0">
      <w:start w:val="5"/>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587F60"/>
    <w:multiLevelType w:val="hybridMultilevel"/>
    <w:tmpl w:val="AA6A5324"/>
    <w:lvl w:ilvl="0" w:tplc="1CBCAE9E">
      <w:start w:val="1"/>
      <w:numFmt w:val="decimal"/>
      <w:lvlText w:val="%1"/>
      <w:lvlJc w:val="left"/>
      <w:pPr>
        <w:ind w:left="120" w:hanging="384"/>
      </w:pPr>
      <w:rPr>
        <w:rFonts w:ascii="Cambria" w:eastAsia="Cambria" w:hAnsi="Cambria" w:hint="default"/>
        <w:w w:val="99"/>
        <w:sz w:val="20"/>
        <w:szCs w:val="20"/>
      </w:rPr>
    </w:lvl>
    <w:lvl w:ilvl="1" w:tplc="665097DC">
      <w:start w:val="1"/>
      <w:numFmt w:val="bullet"/>
      <w:lvlText w:val="•"/>
      <w:lvlJc w:val="left"/>
      <w:pPr>
        <w:ind w:left="1068" w:hanging="384"/>
      </w:pPr>
      <w:rPr>
        <w:rFonts w:hint="default"/>
      </w:rPr>
    </w:lvl>
    <w:lvl w:ilvl="2" w:tplc="800EFA8A">
      <w:start w:val="1"/>
      <w:numFmt w:val="bullet"/>
      <w:lvlText w:val="•"/>
      <w:lvlJc w:val="left"/>
      <w:pPr>
        <w:ind w:left="2016" w:hanging="384"/>
      </w:pPr>
      <w:rPr>
        <w:rFonts w:hint="default"/>
      </w:rPr>
    </w:lvl>
    <w:lvl w:ilvl="3" w:tplc="02CC894E">
      <w:start w:val="1"/>
      <w:numFmt w:val="bullet"/>
      <w:lvlText w:val="•"/>
      <w:lvlJc w:val="left"/>
      <w:pPr>
        <w:ind w:left="2964" w:hanging="384"/>
      </w:pPr>
      <w:rPr>
        <w:rFonts w:hint="default"/>
      </w:rPr>
    </w:lvl>
    <w:lvl w:ilvl="4" w:tplc="FDD681D0">
      <w:start w:val="1"/>
      <w:numFmt w:val="bullet"/>
      <w:lvlText w:val="•"/>
      <w:lvlJc w:val="left"/>
      <w:pPr>
        <w:ind w:left="3912" w:hanging="384"/>
      </w:pPr>
      <w:rPr>
        <w:rFonts w:hint="default"/>
      </w:rPr>
    </w:lvl>
    <w:lvl w:ilvl="5" w:tplc="82D48108">
      <w:start w:val="1"/>
      <w:numFmt w:val="bullet"/>
      <w:lvlText w:val="•"/>
      <w:lvlJc w:val="left"/>
      <w:pPr>
        <w:ind w:left="4860" w:hanging="384"/>
      </w:pPr>
      <w:rPr>
        <w:rFonts w:hint="default"/>
      </w:rPr>
    </w:lvl>
    <w:lvl w:ilvl="6" w:tplc="73BA135C">
      <w:start w:val="1"/>
      <w:numFmt w:val="bullet"/>
      <w:lvlText w:val="•"/>
      <w:lvlJc w:val="left"/>
      <w:pPr>
        <w:ind w:left="5808" w:hanging="384"/>
      </w:pPr>
      <w:rPr>
        <w:rFonts w:hint="default"/>
      </w:rPr>
    </w:lvl>
    <w:lvl w:ilvl="7" w:tplc="152A6CE0">
      <w:start w:val="1"/>
      <w:numFmt w:val="bullet"/>
      <w:lvlText w:val="•"/>
      <w:lvlJc w:val="left"/>
      <w:pPr>
        <w:ind w:left="6756" w:hanging="384"/>
      </w:pPr>
      <w:rPr>
        <w:rFonts w:hint="default"/>
      </w:rPr>
    </w:lvl>
    <w:lvl w:ilvl="8" w:tplc="62F26454">
      <w:start w:val="1"/>
      <w:numFmt w:val="bullet"/>
      <w:lvlText w:val="•"/>
      <w:lvlJc w:val="left"/>
      <w:pPr>
        <w:ind w:left="7704" w:hanging="384"/>
      </w:pPr>
      <w:rPr>
        <w:rFonts w:hint="default"/>
      </w:rPr>
    </w:lvl>
  </w:abstractNum>
  <w:abstractNum w:abstractNumId="4" w15:restartNumberingAfterBreak="0">
    <w:nsid w:val="1C7728A1"/>
    <w:multiLevelType w:val="hybridMultilevel"/>
    <w:tmpl w:val="BC442956"/>
    <w:lvl w:ilvl="0" w:tplc="E7CE6FB6">
      <w:start w:val="3"/>
      <w:numFmt w:val="bullet"/>
      <w:lvlText w:val=""/>
      <w:lvlJc w:val="left"/>
      <w:pPr>
        <w:ind w:left="990" w:hanging="360"/>
      </w:pPr>
      <w:rPr>
        <w:rFonts w:ascii="Symbol" w:eastAsia="MS Mincho" w:hAnsi="Symbol"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 w15:restartNumberingAfterBreak="0">
    <w:nsid w:val="1F663D3D"/>
    <w:multiLevelType w:val="multilevel"/>
    <w:tmpl w:val="370AD1CC"/>
    <w:lvl w:ilvl="0">
      <w:start w:val="1"/>
      <w:numFmt w:val="decimal"/>
      <w:lvlText w:val="%1."/>
      <w:lvlJc w:val="left"/>
      <w:pPr>
        <w:ind w:left="335" w:hanging="235"/>
      </w:pPr>
      <w:rPr>
        <w:rFonts w:ascii="Cambria" w:eastAsia="Cambria" w:hAnsi="Cambria" w:hint="default"/>
        <w:spacing w:val="-1"/>
        <w:w w:val="99"/>
        <w:sz w:val="24"/>
        <w:szCs w:val="24"/>
      </w:rPr>
    </w:lvl>
    <w:lvl w:ilvl="1">
      <w:start w:val="1"/>
      <w:numFmt w:val="decimal"/>
      <w:lvlText w:val="%2"/>
      <w:lvlJc w:val="left"/>
      <w:pPr>
        <w:ind w:left="931" w:hanging="360"/>
      </w:pPr>
      <w:rPr>
        <w:rFonts w:asciiTheme="majorHAnsi" w:eastAsia="Cambria" w:hAnsiTheme="majorHAnsi" w:hint="default"/>
        <w:b/>
        <w:bCs/>
        <w:spacing w:val="-1"/>
        <w:sz w:val="24"/>
        <w:szCs w:val="24"/>
      </w:rPr>
    </w:lvl>
    <w:lvl w:ilvl="2">
      <w:start w:val="1"/>
      <w:numFmt w:val="decimal"/>
      <w:lvlText w:val="%2.%3"/>
      <w:lvlJc w:val="left"/>
      <w:pPr>
        <w:ind w:left="800" w:hanging="629"/>
      </w:pPr>
      <w:rPr>
        <w:rFonts w:ascii="Cambria" w:eastAsia="Cambria" w:hAnsi="Cambria" w:hint="default"/>
        <w:b/>
        <w:bCs/>
        <w:spacing w:val="-1"/>
        <w:sz w:val="22"/>
        <w:szCs w:val="22"/>
      </w:rPr>
    </w:lvl>
    <w:lvl w:ilvl="3">
      <w:start w:val="1"/>
      <w:numFmt w:val="decimal"/>
      <w:lvlText w:val="%2.%3.%4"/>
      <w:lvlJc w:val="left"/>
      <w:pPr>
        <w:ind w:left="1634" w:hanging="814"/>
      </w:pPr>
      <w:rPr>
        <w:rFonts w:ascii="Cambria" w:eastAsia="Cambria" w:hAnsi="Cambria" w:hint="default"/>
        <w:spacing w:val="-1"/>
        <w:w w:val="99"/>
        <w:sz w:val="24"/>
        <w:szCs w:val="24"/>
      </w:rPr>
    </w:lvl>
    <w:lvl w:ilvl="4">
      <w:start w:val="1"/>
      <w:numFmt w:val="bullet"/>
      <w:lvlText w:val="•"/>
      <w:lvlJc w:val="left"/>
      <w:pPr>
        <w:ind w:left="1160" w:hanging="814"/>
      </w:pPr>
      <w:rPr>
        <w:rFonts w:hint="default"/>
      </w:rPr>
    </w:lvl>
    <w:lvl w:ilvl="5">
      <w:start w:val="1"/>
      <w:numFmt w:val="bullet"/>
      <w:lvlText w:val="•"/>
      <w:lvlJc w:val="left"/>
      <w:pPr>
        <w:ind w:left="1634" w:hanging="814"/>
      </w:pPr>
      <w:rPr>
        <w:rFonts w:hint="default"/>
      </w:rPr>
    </w:lvl>
    <w:lvl w:ilvl="6">
      <w:start w:val="1"/>
      <w:numFmt w:val="bullet"/>
      <w:lvlText w:val="•"/>
      <w:lvlJc w:val="left"/>
      <w:pPr>
        <w:ind w:left="3143" w:hanging="814"/>
      </w:pPr>
      <w:rPr>
        <w:rFonts w:hint="default"/>
      </w:rPr>
    </w:lvl>
    <w:lvl w:ilvl="7">
      <w:start w:val="1"/>
      <w:numFmt w:val="bullet"/>
      <w:lvlText w:val="•"/>
      <w:lvlJc w:val="left"/>
      <w:pPr>
        <w:ind w:left="4652" w:hanging="814"/>
      </w:pPr>
      <w:rPr>
        <w:rFonts w:hint="default"/>
      </w:rPr>
    </w:lvl>
    <w:lvl w:ilvl="8">
      <w:start w:val="1"/>
      <w:numFmt w:val="bullet"/>
      <w:lvlText w:val="•"/>
      <w:lvlJc w:val="left"/>
      <w:pPr>
        <w:ind w:left="6161" w:hanging="814"/>
      </w:pPr>
      <w:rPr>
        <w:rFonts w:hint="default"/>
      </w:rPr>
    </w:lvl>
  </w:abstractNum>
  <w:abstractNum w:abstractNumId="6" w15:restartNumberingAfterBreak="0">
    <w:nsid w:val="2594614D"/>
    <w:multiLevelType w:val="multilevel"/>
    <w:tmpl w:val="2508FCFC"/>
    <w:lvl w:ilvl="0">
      <w:start w:val="5"/>
      <w:numFmt w:val="decimal"/>
      <w:lvlText w:val="%1"/>
      <w:lvlJc w:val="left"/>
      <w:pPr>
        <w:ind w:left="1000" w:hanging="540"/>
      </w:pPr>
      <w:rPr>
        <w:rFonts w:hint="default"/>
      </w:rPr>
    </w:lvl>
    <w:lvl w:ilvl="1">
      <w:start w:val="1"/>
      <w:numFmt w:val="decimal"/>
      <w:lvlText w:val="%1.%2"/>
      <w:lvlJc w:val="left"/>
      <w:pPr>
        <w:ind w:left="1000" w:hanging="540"/>
      </w:pPr>
      <w:rPr>
        <w:rFonts w:ascii="Cambria" w:eastAsia="Cambria" w:hAnsi="Cambria" w:hint="default"/>
        <w:b/>
        <w:bCs/>
        <w:spacing w:val="-1"/>
        <w:sz w:val="24"/>
        <w:szCs w:val="24"/>
      </w:rPr>
    </w:lvl>
    <w:lvl w:ilvl="2">
      <w:start w:val="1"/>
      <w:numFmt w:val="lowerLetter"/>
      <w:lvlText w:val="%3."/>
      <w:lvlJc w:val="left"/>
      <w:pPr>
        <w:ind w:left="2981" w:hanging="901"/>
      </w:pPr>
      <w:rPr>
        <w:rFonts w:ascii="Cambria" w:eastAsia="Cambria" w:hAnsi="Cambria" w:hint="default"/>
        <w:sz w:val="24"/>
        <w:szCs w:val="24"/>
      </w:rPr>
    </w:lvl>
    <w:lvl w:ilvl="3">
      <w:start w:val="1"/>
      <w:numFmt w:val="bullet"/>
      <w:lvlText w:val="•"/>
      <w:lvlJc w:val="left"/>
      <w:pPr>
        <w:ind w:left="3818" w:hanging="901"/>
      </w:pPr>
      <w:rPr>
        <w:rFonts w:hint="default"/>
      </w:rPr>
    </w:lvl>
    <w:lvl w:ilvl="4">
      <w:start w:val="1"/>
      <w:numFmt w:val="bullet"/>
      <w:lvlText w:val="•"/>
      <w:lvlJc w:val="left"/>
      <w:pPr>
        <w:ind w:left="4641" w:hanging="901"/>
      </w:pPr>
      <w:rPr>
        <w:rFonts w:hint="default"/>
      </w:rPr>
    </w:lvl>
    <w:lvl w:ilvl="5">
      <w:start w:val="1"/>
      <w:numFmt w:val="bullet"/>
      <w:lvlText w:val="•"/>
      <w:lvlJc w:val="left"/>
      <w:pPr>
        <w:ind w:left="5464" w:hanging="901"/>
      </w:pPr>
      <w:rPr>
        <w:rFonts w:hint="default"/>
      </w:rPr>
    </w:lvl>
    <w:lvl w:ilvl="6">
      <w:start w:val="1"/>
      <w:numFmt w:val="bullet"/>
      <w:lvlText w:val="•"/>
      <w:lvlJc w:val="left"/>
      <w:pPr>
        <w:ind w:left="6287" w:hanging="901"/>
      </w:pPr>
      <w:rPr>
        <w:rFonts w:hint="default"/>
      </w:rPr>
    </w:lvl>
    <w:lvl w:ilvl="7">
      <w:start w:val="1"/>
      <w:numFmt w:val="bullet"/>
      <w:lvlText w:val="•"/>
      <w:lvlJc w:val="left"/>
      <w:pPr>
        <w:ind w:left="7110" w:hanging="901"/>
      </w:pPr>
      <w:rPr>
        <w:rFonts w:hint="default"/>
      </w:rPr>
    </w:lvl>
    <w:lvl w:ilvl="8">
      <w:start w:val="1"/>
      <w:numFmt w:val="bullet"/>
      <w:lvlText w:val="•"/>
      <w:lvlJc w:val="left"/>
      <w:pPr>
        <w:ind w:left="7933" w:hanging="901"/>
      </w:pPr>
      <w:rPr>
        <w:rFonts w:hint="default"/>
      </w:rPr>
    </w:lvl>
  </w:abstractNum>
  <w:abstractNum w:abstractNumId="7" w15:restartNumberingAfterBreak="0">
    <w:nsid w:val="2FF74395"/>
    <w:multiLevelType w:val="hybridMultilevel"/>
    <w:tmpl w:val="CEB48C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25683"/>
    <w:multiLevelType w:val="multilevel"/>
    <w:tmpl w:val="EEA0233A"/>
    <w:lvl w:ilvl="0">
      <w:start w:val="4"/>
      <w:numFmt w:val="decimal"/>
      <w:lvlText w:val="%1"/>
      <w:lvlJc w:val="left"/>
      <w:pPr>
        <w:ind w:left="1933" w:hanging="774"/>
      </w:pPr>
      <w:rPr>
        <w:rFonts w:hint="default"/>
      </w:rPr>
    </w:lvl>
    <w:lvl w:ilvl="1">
      <w:start w:val="2"/>
      <w:numFmt w:val="decimal"/>
      <w:lvlText w:val="%1.%2"/>
      <w:lvlJc w:val="left"/>
      <w:pPr>
        <w:ind w:left="1933" w:hanging="774"/>
      </w:pPr>
      <w:rPr>
        <w:rFonts w:hint="default"/>
      </w:rPr>
    </w:lvl>
    <w:lvl w:ilvl="2">
      <w:start w:val="2"/>
      <w:numFmt w:val="decimal"/>
      <w:lvlText w:val="%1.%2.%3"/>
      <w:lvlJc w:val="left"/>
      <w:pPr>
        <w:ind w:left="2281" w:hanging="774"/>
        <w:jc w:val="right"/>
      </w:pPr>
      <w:rPr>
        <w:rFonts w:ascii="Cambria" w:eastAsia="Cambria" w:hAnsi="Cambria" w:hint="default"/>
        <w:spacing w:val="-1"/>
        <w:w w:val="99"/>
        <w:sz w:val="22"/>
        <w:szCs w:val="22"/>
      </w:rPr>
    </w:lvl>
    <w:lvl w:ilvl="3">
      <w:start w:val="1"/>
      <w:numFmt w:val="lowerLetter"/>
      <w:lvlText w:val="%4."/>
      <w:lvlJc w:val="left"/>
      <w:pPr>
        <w:ind w:left="2601" w:hanging="887"/>
      </w:pPr>
      <w:rPr>
        <w:rFonts w:ascii="Cambria" w:eastAsia="Cambria" w:hAnsi="Cambria" w:hint="default"/>
        <w:sz w:val="24"/>
        <w:szCs w:val="24"/>
      </w:rPr>
    </w:lvl>
    <w:lvl w:ilvl="4">
      <w:start w:val="1"/>
      <w:numFmt w:val="bullet"/>
      <w:lvlText w:val="•"/>
      <w:lvlJc w:val="left"/>
      <w:pPr>
        <w:ind w:left="4250" w:hanging="887"/>
      </w:pPr>
      <w:rPr>
        <w:rFonts w:hint="default"/>
      </w:rPr>
    </w:lvl>
    <w:lvl w:ilvl="5">
      <w:start w:val="1"/>
      <w:numFmt w:val="bullet"/>
      <w:lvlText w:val="•"/>
      <w:lvlJc w:val="left"/>
      <w:pPr>
        <w:ind w:left="5075" w:hanging="887"/>
      </w:pPr>
      <w:rPr>
        <w:rFonts w:hint="default"/>
      </w:rPr>
    </w:lvl>
    <w:lvl w:ilvl="6">
      <w:start w:val="1"/>
      <w:numFmt w:val="bullet"/>
      <w:lvlText w:val="•"/>
      <w:lvlJc w:val="left"/>
      <w:pPr>
        <w:ind w:left="5900" w:hanging="887"/>
      </w:pPr>
      <w:rPr>
        <w:rFonts w:hint="default"/>
      </w:rPr>
    </w:lvl>
    <w:lvl w:ilvl="7">
      <w:start w:val="1"/>
      <w:numFmt w:val="bullet"/>
      <w:lvlText w:val="•"/>
      <w:lvlJc w:val="left"/>
      <w:pPr>
        <w:ind w:left="6725" w:hanging="887"/>
      </w:pPr>
      <w:rPr>
        <w:rFonts w:hint="default"/>
      </w:rPr>
    </w:lvl>
    <w:lvl w:ilvl="8">
      <w:start w:val="1"/>
      <w:numFmt w:val="bullet"/>
      <w:lvlText w:val="•"/>
      <w:lvlJc w:val="left"/>
      <w:pPr>
        <w:ind w:left="7550" w:hanging="887"/>
      </w:pPr>
      <w:rPr>
        <w:rFonts w:hint="default"/>
      </w:rPr>
    </w:lvl>
  </w:abstractNum>
  <w:abstractNum w:abstractNumId="9" w15:restartNumberingAfterBreak="0">
    <w:nsid w:val="3DE81EF9"/>
    <w:multiLevelType w:val="multilevel"/>
    <w:tmpl w:val="E98E94F8"/>
    <w:lvl w:ilvl="0">
      <w:start w:val="7"/>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F8770DE"/>
    <w:multiLevelType w:val="multilevel"/>
    <w:tmpl w:val="6D188C8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F9B61E9"/>
    <w:multiLevelType w:val="hybridMultilevel"/>
    <w:tmpl w:val="DA94EECC"/>
    <w:lvl w:ilvl="0" w:tplc="04090011">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2" w15:restartNumberingAfterBreak="0">
    <w:nsid w:val="41D26412"/>
    <w:multiLevelType w:val="multilevel"/>
    <w:tmpl w:val="4E964962"/>
    <w:lvl w:ilvl="0">
      <w:start w:val="4"/>
      <w:numFmt w:val="decimal"/>
      <w:lvlText w:val="%1"/>
      <w:lvlJc w:val="left"/>
      <w:pPr>
        <w:ind w:left="492" w:hanging="492"/>
      </w:pPr>
      <w:rPr>
        <w:rFonts w:hint="default"/>
      </w:rPr>
    </w:lvl>
    <w:lvl w:ilvl="1">
      <w:start w:val="2"/>
      <w:numFmt w:val="decimal"/>
      <w:lvlText w:val="%1.%2"/>
      <w:lvlJc w:val="left"/>
      <w:pPr>
        <w:ind w:left="1272" w:hanging="492"/>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2520" w:hanging="720"/>
      </w:pPr>
      <w:rPr>
        <w:rFonts w:hint="default"/>
        <w:b/>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4315365B"/>
    <w:multiLevelType w:val="multilevel"/>
    <w:tmpl w:val="E98E94F8"/>
    <w:lvl w:ilvl="0">
      <w:start w:val="7"/>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81B533C"/>
    <w:multiLevelType w:val="hybridMultilevel"/>
    <w:tmpl w:val="D7849EB0"/>
    <w:lvl w:ilvl="0" w:tplc="2FE8558E">
      <w:start w:val="1"/>
      <w:numFmt w:val="decimal"/>
      <w:lvlText w:val="%1]"/>
      <w:lvlJc w:val="left"/>
      <w:pPr>
        <w:ind w:left="460" w:hanging="360"/>
      </w:pPr>
      <w:rPr>
        <w:rFonts w:hint="default"/>
        <w:spacing w:val="-1"/>
        <w:w w:val="99"/>
        <w:sz w:val="24"/>
        <w:szCs w:val="24"/>
      </w:rPr>
    </w:lvl>
    <w:lvl w:ilvl="1" w:tplc="5510CFD8">
      <w:start w:val="1"/>
      <w:numFmt w:val="bullet"/>
      <w:lvlText w:val="•"/>
      <w:lvlJc w:val="left"/>
      <w:pPr>
        <w:ind w:left="1336" w:hanging="360"/>
      </w:pPr>
      <w:rPr>
        <w:rFonts w:hint="default"/>
      </w:rPr>
    </w:lvl>
    <w:lvl w:ilvl="2" w:tplc="31A632E6">
      <w:start w:val="1"/>
      <w:numFmt w:val="bullet"/>
      <w:lvlText w:val="•"/>
      <w:lvlJc w:val="left"/>
      <w:pPr>
        <w:ind w:left="2212" w:hanging="360"/>
      </w:pPr>
      <w:rPr>
        <w:rFonts w:hint="default"/>
      </w:rPr>
    </w:lvl>
    <w:lvl w:ilvl="3" w:tplc="2EBE9718">
      <w:start w:val="1"/>
      <w:numFmt w:val="bullet"/>
      <w:lvlText w:val="•"/>
      <w:lvlJc w:val="left"/>
      <w:pPr>
        <w:ind w:left="3088" w:hanging="360"/>
      </w:pPr>
      <w:rPr>
        <w:rFonts w:hint="default"/>
      </w:rPr>
    </w:lvl>
    <w:lvl w:ilvl="4" w:tplc="1898D460">
      <w:start w:val="1"/>
      <w:numFmt w:val="bullet"/>
      <w:lvlText w:val="•"/>
      <w:lvlJc w:val="left"/>
      <w:pPr>
        <w:ind w:left="3964" w:hanging="360"/>
      </w:pPr>
      <w:rPr>
        <w:rFonts w:hint="default"/>
      </w:rPr>
    </w:lvl>
    <w:lvl w:ilvl="5" w:tplc="08808EC6">
      <w:start w:val="1"/>
      <w:numFmt w:val="bullet"/>
      <w:lvlText w:val="•"/>
      <w:lvlJc w:val="left"/>
      <w:pPr>
        <w:ind w:left="4840" w:hanging="360"/>
      </w:pPr>
      <w:rPr>
        <w:rFonts w:hint="default"/>
      </w:rPr>
    </w:lvl>
    <w:lvl w:ilvl="6" w:tplc="E190EBCA">
      <w:start w:val="1"/>
      <w:numFmt w:val="bullet"/>
      <w:lvlText w:val="•"/>
      <w:lvlJc w:val="left"/>
      <w:pPr>
        <w:ind w:left="5716" w:hanging="360"/>
      </w:pPr>
      <w:rPr>
        <w:rFonts w:hint="default"/>
      </w:rPr>
    </w:lvl>
    <w:lvl w:ilvl="7" w:tplc="4C6AD814">
      <w:start w:val="1"/>
      <w:numFmt w:val="bullet"/>
      <w:lvlText w:val="•"/>
      <w:lvlJc w:val="left"/>
      <w:pPr>
        <w:ind w:left="6592" w:hanging="360"/>
      </w:pPr>
      <w:rPr>
        <w:rFonts w:hint="default"/>
      </w:rPr>
    </w:lvl>
    <w:lvl w:ilvl="8" w:tplc="03B6C536">
      <w:start w:val="1"/>
      <w:numFmt w:val="bullet"/>
      <w:lvlText w:val="•"/>
      <w:lvlJc w:val="left"/>
      <w:pPr>
        <w:ind w:left="7468" w:hanging="360"/>
      </w:pPr>
      <w:rPr>
        <w:rFonts w:hint="default"/>
      </w:rPr>
    </w:lvl>
  </w:abstractNum>
  <w:abstractNum w:abstractNumId="15" w15:restartNumberingAfterBreak="0">
    <w:nsid w:val="5AF65195"/>
    <w:multiLevelType w:val="hybridMultilevel"/>
    <w:tmpl w:val="21DAE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92759"/>
    <w:multiLevelType w:val="hybridMultilevel"/>
    <w:tmpl w:val="64B84432"/>
    <w:lvl w:ilvl="0" w:tplc="ADB473EA">
      <w:start w:val="1"/>
      <w:numFmt w:val="decimal"/>
      <w:lvlText w:val="%1."/>
      <w:lvlJc w:val="left"/>
      <w:pPr>
        <w:ind w:left="460" w:hanging="360"/>
      </w:pPr>
      <w:rPr>
        <w:rFonts w:ascii="Cambria" w:eastAsia="Cambria" w:hAnsi="Cambria" w:hint="default"/>
        <w:spacing w:val="-1"/>
        <w:w w:val="99"/>
        <w:sz w:val="24"/>
        <w:szCs w:val="24"/>
      </w:rPr>
    </w:lvl>
    <w:lvl w:ilvl="1" w:tplc="5510CFD8">
      <w:start w:val="1"/>
      <w:numFmt w:val="bullet"/>
      <w:lvlText w:val="•"/>
      <w:lvlJc w:val="left"/>
      <w:pPr>
        <w:ind w:left="1336" w:hanging="360"/>
      </w:pPr>
      <w:rPr>
        <w:rFonts w:hint="default"/>
      </w:rPr>
    </w:lvl>
    <w:lvl w:ilvl="2" w:tplc="31A632E6">
      <w:start w:val="1"/>
      <w:numFmt w:val="bullet"/>
      <w:lvlText w:val="•"/>
      <w:lvlJc w:val="left"/>
      <w:pPr>
        <w:ind w:left="2212" w:hanging="360"/>
      </w:pPr>
      <w:rPr>
        <w:rFonts w:hint="default"/>
      </w:rPr>
    </w:lvl>
    <w:lvl w:ilvl="3" w:tplc="2EBE9718">
      <w:start w:val="1"/>
      <w:numFmt w:val="bullet"/>
      <w:lvlText w:val="•"/>
      <w:lvlJc w:val="left"/>
      <w:pPr>
        <w:ind w:left="3088" w:hanging="360"/>
      </w:pPr>
      <w:rPr>
        <w:rFonts w:hint="default"/>
      </w:rPr>
    </w:lvl>
    <w:lvl w:ilvl="4" w:tplc="1898D460">
      <w:start w:val="1"/>
      <w:numFmt w:val="bullet"/>
      <w:lvlText w:val="•"/>
      <w:lvlJc w:val="left"/>
      <w:pPr>
        <w:ind w:left="3964" w:hanging="360"/>
      </w:pPr>
      <w:rPr>
        <w:rFonts w:hint="default"/>
      </w:rPr>
    </w:lvl>
    <w:lvl w:ilvl="5" w:tplc="08808EC6">
      <w:start w:val="1"/>
      <w:numFmt w:val="bullet"/>
      <w:lvlText w:val="•"/>
      <w:lvlJc w:val="left"/>
      <w:pPr>
        <w:ind w:left="4840" w:hanging="360"/>
      </w:pPr>
      <w:rPr>
        <w:rFonts w:hint="default"/>
      </w:rPr>
    </w:lvl>
    <w:lvl w:ilvl="6" w:tplc="E190EBCA">
      <w:start w:val="1"/>
      <w:numFmt w:val="bullet"/>
      <w:lvlText w:val="•"/>
      <w:lvlJc w:val="left"/>
      <w:pPr>
        <w:ind w:left="5716" w:hanging="360"/>
      </w:pPr>
      <w:rPr>
        <w:rFonts w:hint="default"/>
      </w:rPr>
    </w:lvl>
    <w:lvl w:ilvl="7" w:tplc="4C6AD814">
      <w:start w:val="1"/>
      <w:numFmt w:val="bullet"/>
      <w:lvlText w:val="•"/>
      <w:lvlJc w:val="left"/>
      <w:pPr>
        <w:ind w:left="6592" w:hanging="360"/>
      </w:pPr>
      <w:rPr>
        <w:rFonts w:hint="default"/>
      </w:rPr>
    </w:lvl>
    <w:lvl w:ilvl="8" w:tplc="03B6C536">
      <w:start w:val="1"/>
      <w:numFmt w:val="bullet"/>
      <w:lvlText w:val="•"/>
      <w:lvlJc w:val="left"/>
      <w:pPr>
        <w:ind w:left="7468" w:hanging="360"/>
      </w:pPr>
      <w:rPr>
        <w:rFonts w:hint="default"/>
      </w:rPr>
    </w:lvl>
  </w:abstractNum>
  <w:abstractNum w:abstractNumId="17" w15:restartNumberingAfterBreak="0">
    <w:nsid w:val="670B634D"/>
    <w:multiLevelType w:val="multilevel"/>
    <w:tmpl w:val="AD4CEF48"/>
    <w:lvl w:ilvl="0">
      <w:start w:val="4"/>
      <w:numFmt w:val="decimal"/>
      <w:lvlText w:val="%1"/>
      <w:lvlJc w:val="left"/>
      <w:pPr>
        <w:ind w:left="1111" w:hanging="540"/>
      </w:pPr>
      <w:rPr>
        <w:rFonts w:hint="default"/>
      </w:rPr>
    </w:lvl>
    <w:lvl w:ilvl="1">
      <w:start w:val="2"/>
      <w:numFmt w:val="decimal"/>
      <w:lvlText w:val="%1.%2"/>
      <w:lvlJc w:val="left"/>
      <w:pPr>
        <w:ind w:left="1111" w:hanging="540"/>
      </w:pPr>
      <w:rPr>
        <w:rFonts w:asciiTheme="majorHAnsi" w:eastAsia="Cambria" w:hAnsiTheme="majorHAnsi" w:hint="default"/>
        <w:b/>
        <w:bCs/>
        <w:spacing w:val="-1"/>
        <w:sz w:val="22"/>
        <w:szCs w:val="24"/>
      </w:rPr>
    </w:lvl>
    <w:lvl w:ilvl="2">
      <w:start w:val="1"/>
      <w:numFmt w:val="decimal"/>
      <w:lvlText w:val="%1.%2.%3."/>
      <w:lvlJc w:val="left"/>
      <w:pPr>
        <w:ind w:left="2281" w:hanging="721"/>
      </w:pPr>
      <w:rPr>
        <w:rFonts w:ascii="Cambria" w:eastAsia="Cambria" w:hAnsi="Cambria" w:hint="default"/>
        <w:spacing w:val="-1"/>
        <w:w w:val="99"/>
        <w:sz w:val="24"/>
        <w:szCs w:val="24"/>
      </w:rPr>
    </w:lvl>
    <w:lvl w:ilvl="3">
      <w:start w:val="1"/>
      <w:numFmt w:val="lowerLetter"/>
      <w:lvlText w:val="%4."/>
      <w:lvlJc w:val="left"/>
      <w:pPr>
        <w:ind w:left="3001" w:hanging="720"/>
        <w:jc w:val="right"/>
      </w:pPr>
      <w:rPr>
        <w:rFonts w:ascii="Cambria" w:eastAsia="Cambria" w:hAnsi="Cambria" w:hint="default"/>
        <w:sz w:val="24"/>
        <w:szCs w:val="24"/>
      </w:rPr>
    </w:lvl>
    <w:lvl w:ilvl="4">
      <w:start w:val="1"/>
      <w:numFmt w:val="bullet"/>
      <w:lvlText w:val="•"/>
      <w:lvlJc w:val="left"/>
      <w:pPr>
        <w:ind w:left="4650" w:hanging="720"/>
      </w:pPr>
      <w:rPr>
        <w:rFonts w:hint="default"/>
      </w:rPr>
    </w:lvl>
    <w:lvl w:ilvl="5">
      <w:start w:val="1"/>
      <w:numFmt w:val="bullet"/>
      <w:lvlText w:val="•"/>
      <w:lvlJc w:val="left"/>
      <w:pPr>
        <w:ind w:left="5475" w:hanging="720"/>
      </w:pPr>
      <w:rPr>
        <w:rFonts w:hint="default"/>
      </w:rPr>
    </w:lvl>
    <w:lvl w:ilvl="6">
      <w:start w:val="1"/>
      <w:numFmt w:val="bullet"/>
      <w:lvlText w:val="•"/>
      <w:lvlJc w:val="left"/>
      <w:pPr>
        <w:ind w:left="6300" w:hanging="720"/>
      </w:pPr>
      <w:rPr>
        <w:rFonts w:hint="default"/>
      </w:rPr>
    </w:lvl>
    <w:lvl w:ilvl="7">
      <w:start w:val="1"/>
      <w:numFmt w:val="bullet"/>
      <w:lvlText w:val="•"/>
      <w:lvlJc w:val="left"/>
      <w:pPr>
        <w:ind w:left="7125" w:hanging="720"/>
      </w:pPr>
      <w:rPr>
        <w:rFonts w:hint="default"/>
      </w:rPr>
    </w:lvl>
    <w:lvl w:ilvl="8">
      <w:start w:val="1"/>
      <w:numFmt w:val="bullet"/>
      <w:lvlText w:val="•"/>
      <w:lvlJc w:val="left"/>
      <w:pPr>
        <w:ind w:left="7950" w:hanging="720"/>
      </w:pPr>
      <w:rPr>
        <w:rFonts w:hint="default"/>
      </w:rPr>
    </w:lvl>
  </w:abstractNum>
  <w:abstractNum w:abstractNumId="18" w15:restartNumberingAfterBreak="0">
    <w:nsid w:val="70147972"/>
    <w:multiLevelType w:val="multilevel"/>
    <w:tmpl w:val="D5B28596"/>
    <w:lvl w:ilvl="0">
      <w:start w:val="4"/>
      <w:numFmt w:val="decimal"/>
      <w:lvlText w:val="%1"/>
      <w:lvlJc w:val="left"/>
      <w:pPr>
        <w:ind w:left="492" w:hanging="492"/>
      </w:pPr>
      <w:rPr>
        <w:rFonts w:hint="default"/>
      </w:rPr>
    </w:lvl>
    <w:lvl w:ilvl="1">
      <w:start w:val="2"/>
      <w:numFmt w:val="decimal"/>
      <w:lvlText w:val="%1.%2"/>
      <w:lvlJc w:val="left"/>
      <w:pPr>
        <w:ind w:left="1272" w:hanging="492"/>
      </w:pPr>
      <w:rPr>
        <w:rFonts w:hint="default"/>
      </w:rPr>
    </w:lvl>
    <w:lvl w:ilvl="2">
      <w:start w:val="2"/>
      <w:numFmt w:val="decimal"/>
      <w:lvlText w:val="%1.%2.%3"/>
      <w:lvlJc w:val="left"/>
      <w:pPr>
        <w:ind w:left="2280" w:hanging="720"/>
      </w:pPr>
      <w:rPr>
        <w:rFonts w:hint="default"/>
      </w:rPr>
    </w:lvl>
    <w:lvl w:ilvl="3">
      <w:start w:val="1"/>
      <w:numFmt w:val="lowerLetter"/>
      <w:lvlText w:val="%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9" w15:restartNumberingAfterBreak="0">
    <w:nsid w:val="71F51580"/>
    <w:multiLevelType w:val="multilevel"/>
    <w:tmpl w:val="24483D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CE524D"/>
    <w:multiLevelType w:val="multilevel"/>
    <w:tmpl w:val="3258A086"/>
    <w:lvl w:ilvl="0">
      <w:start w:val="5"/>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0249186">
    <w:abstractNumId w:val="16"/>
  </w:num>
  <w:num w:numId="2" w16cid:durableId="903301038">
    <w:abstractNumId w:val="6"/>
  </w:num>
  <w:num w:numId="3" w16cid:durableId="1505704918">
    <w:abstractNumId w:val="8"/>
  </w:num>
  <w:num w:numId="4" w16cid:durableId="708800603">
    <w:abstractNumId w:val="17"/>
  </w:num>
  <w:num w:numId="5" w16cid:durableId="2065130407">
    <w:abstractNumId w:val="1"/>
  </w:num>
  <w:num w:numId="6" w16cid:durableId="1245993196">
    <w:abstractNumId w:val="3"/>
  </w:num>
  <w:num w:numId="7" w16cid:durableId="723060708">
    <w:abstractNumId w:val="5"/>
  </w:num>
  <w:num w:numId="8" w16cid:durableId="330909898">
    <w:abstractNumId w:val="11"/>
  </w:num>
  <w:num w:numId="9" w16cid:durableId="600531541">
    <w:abstractNumId w:val="12"/>
  </w:num>
  <w:num w:numId="10" w16cid:durableId="998120365">
    <w:abstractNumId w:val="18"/>
  </w:num>
  <w:num w:numId="11" w16cid:durableId="1030494435">
    <w:abstractNumId w:val="0"/>
  </w:num>
  <w:num w:numId="12" w16cid:durableId="1705980494">
    <w:abstractNumId w:val="19"/>
  </w:num>
  <w:num w:numId="13" w16cid:durableId="43677010">
    <w:abstractNumId w:val="15"/>
  </w:num>
  <w:num w:numId="14" w16cid:durableId="882863028">
    <w:abstractNumId w:val="7"/>
  </w:num>
  <w:num w:numId="15" w16cid:durableId="170537222">
    <w:abstractNumId w:val="20"/>
  </w:num>
  <w:num w:numId="16" w16cid:durableId="867186276">
    <w:abstractNumId w:val="2"/>
  </w:num>
  <w:num w:numId="17" w16cid:durableId="416244480">
    <w:abstractNumId w:val="10"/>
  </w:num>
  <w:num w:numId="18" w16cid:durableId="165173672">
    <w:abstractNumId w:val="14"/>
  </w:num>
  <w:num w:numId="19" w16cid:durableId="485240957">
    <w:abstractNumId w:val="9"/>
  </w:num>
  <w:num w:numId="20" w16cid:durableId="1818185275">
    <w:abstractNumId w:val="13"/>
  </w:num>
  <w:num w:numId="21" w16cid:durableId="1373725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01"/>
    <w:rsid w:val="0000528B"/>
    <w:rsid w:val="0001432B"/>
    <w:rsid w:val="00016DC0"/>
    <w:rsid w:val="000312F3"/>
    <w:rsid w:val="00032424"/>
    <w:rsid w:val="00037992"/>
    <w:rsid w:val="000561C2"/>
    <w:rsid w:val="0005623F"/>
    <w:rsid w:val="0006264B"/>
    <w:rsid w:val="00063AA3"/>
    <w:rsid w:val="00073113"/>
    <w:rsid w:val="00073412"/>
    <w:rsid w:val="000A4043"/>
    <w:rsid w:val="000A40B5"/>
    <w:rsid w:val="000A64EE"/>
    <w:rsid w:val="000A7332"/>
    <w:rsid w:val="000B2AE0"/>
    <w:rsid w:val="000E0C71"/>
    <w:rsid w:val="000E6D6D"/>
    <w:rsid w:val="0013010C"/>
    <w:rsid w:val="00133FB3"/>
    <w:rsid w:val="001347E9"/>
    <w:rsid w:val="00140097"/>
    <w:rsid w:val="00141BAA"/>
    <w:rsid w:val="00151369"/>
    <w:rsid w:val="00153B45"/>
    <w:rsid w:val="00166053"/>
    <w:rsid w:val="00170E6D"/>
    <w:rsid w:val="001A3F3D"/>
    <w:rsid w:val="001B10E3"/>
    <w:rsid w:val="001B46E3"/>
    <w:rsid w:val="001D335B"/>
    <w:rsid w:val="001E7F0C"/>
    <w:rsid w:val="00201D0A"/>
    <w:rsid w:val="002031A4"/>
    <w:rsid w:val="002069FC"/>
    <w:rsid w:val="00206F29"/>
    <w:rsid w:val="002411F9"/>
    <w:rsid w:val="00266E8E"/>
    <w:rsid w:val="002A61ED"/>
    <w:rsid w:val="002B19A5"/>
    <w:rsid w:val="002E2F7C"/>
    <w:rsid w:val="002E682A"/>
    <w:rsid w:val="003069BC"/>
    <w:rsid w:val="00324B0C"/>
    <w:rsid w:val="00334E61"/>
    <w:rsid w:val="003358C8"/>
    <w:rsid w:val="00347240"/>
    <w:rsid w:val="003577BB"/>
    <w:rsid w:val="00360356"/>
    <w:rsid w:val="00367BD5"/>
    <w:rsid w:val="00371942"/>
    <w:rsid w:val="003967ED"/>
    <w:rsid w:val="00397C0D"/>
    <w:rsid w:val="003A39F3"/>
    <w:rsid w:val="003A4376"/>
    <w:rsid w:val="003A4946"/>
    <w:rsid w:val="003B331D"/>
    <w:rsid w:val="003B6DED"/>
    <w:rsid w:val="003C1B95"/>
    <w:rsid w:val="003E1F52"/>
    <w:rsid w:val="003F3BCC"/>
    <w:rsid w:val="003F4EC8"/>
    <w:rsid w:val="003F5EAA"/>
    <w:rsid w:val="00403578"/>
    <w:rsid w:val="00411230"/>
    <w:rsid w:val="00411A68"/>
    <w:rsid w:val="004131FB"/>
    <w:rsid w:val="00420507"/>
    <w:rsid w:val="00422266"/>
    <w:rsid w:val="00425F49"/>
    <w:rsid w:val="00455A56"/>
    <w:rsid w:val="00486269"/>
    <w:rsid w:val="004A5C9E"/>
    <w:rsid w:val="004B241F"/>
    <w:rsid w:val="004C4F3E"/>
    <w:rsid w:val="004E5478"/>
    <w:rsid w:val="004F43F4"/>
    <w:rsid w:val="004F7B4E"/>
    <w:rsid w:val="0050679F"/>
    <w:rsid w:val="00506EBA"/>
    <w:rsid w:val="00513348"/>
    <w:rsid w:val="005168AD"/>
    <w:rsid w:val="005201D6"/>
    <w:rsid w:val="00520B31"/>
    <w:rsid w:val="00524571"/>
    <w:rsid w:val="00537F01"/>
    <w:rsid w:val="0055218F"/>
    <w:rsid w:val="005549D8"/>
    <w:rsid w:val="00554BD5"/>
    <w:rsid w:val="00555BB7"/>
    <w:rsid w:val="005727E9"/>
    <w:rsid w:val="00572D8B"/>
    <w:rsid w:val="005921D7"/>
    <w:rsid w:val="00597538"/>
    <w:rsid w:val="005A64DE"/>
    <w:rsid w:val="005B145D"/>
    <w:rsid w:val="005B6357"/>
    <w:rsid w:val="005C2C58"/>
    <w:rsid w:val="005C2C8F"/>
    <w:rsid w:val="005C54FD"/>
    <w:rsid w:val="005D00F7"/>
    <w:rsid w:val="005F1BC3"/>
    <w:rsid w:val="00603A86"/>
    <w:rsid w:val="00610510"/>
    <w:rsid w:val="006120C3"/>
    <w:rsid w:val="0062079A"/>
    <w:rsid w:val="006234A0"/>
    <w:rsid w:val="00627108"/>
    <w:rsid w:val="00632F55"/>
    <w:rsid w:val="00666E6F"/>
    <w:rsid w:val="00682EFA"/>
    <w:rsid w:val="00691807"/>
    <w:rsid w:val="006A4392"/>
    <w:rsid w:val="006A624D"/>
    <w:rsid w:val="006B3421"/>
    <w:rsid w:val="006D5A7B"/>
    <w:rsid w:val="006F370A"/>
    <w:rsid w:val="007041D1"/>
    <w:rsid w:val="0070456C"/>
    <w:rsid w:val="00730F23"/>
    <w:rsid w:val="00775F78"/>
    <w:rsid w:val="007A17C1"/>
    <w:rsid w:val="007A5B14"/>
    <w:rsid w:val="007A744F"/>
    <w:rsid w:val="007B4B76"/>
    <w:rsid w:val="007D4F85"/>
    <w:rsid w:val="007E284B"/>
    <w:rsid w:val="007E3402"/>
    <w:rsid w:val="008054EB"/>
    <w:rsid w:val="00827F98"/>
    <w:rsid w:val="00831BC3"/>
    <w:rsid w:val="00836815"/>
    <w:rsid w:val="00863ED9"/>
    <w:rsid w:val="00874F66"/>
    <w:rsid w:val="008868E7"/>
    <w:rsid w:val="00890FC3"/>
    <w:rsid w:val="00897B89"/>
    <w:rsid w:val="008A6915"/>
    <w:rsid w:val="008B5608"/>
    <w:rsid w:val="008D06D9"/>
    <w:rsid w:val="008D5C7B"/>
    <w:rsid w:val="008E0AF1"/>
    <w:rsid w:val="008F3799"/>
    <w:rsid w:val="009156F9"/>
    <w:rsid w:val="00926A9B"/>
    <w:rsid w:val="00942C9D"/>
    <w:rsid w:val="009457C5"/>
    <w:rsid w:val="00965A79"/>
    <w:rsid w:val="009730D3"/>
    <w:rsid w:val="009A2E65"/>
    <w:rsid w:val="009A3659"/>
    <w:rsid w:val="009A3B1E"/>
    <w:rsid w:val="009C35D5"/>
    <w:rsid w:val="009C5FA1"/>
    <w:rsid w:val="009D56CE"/>
    <w:rsid w:val="009E42DD"/>
    <w:rsid w:val="009E5950"/>
    <w:rsid w:val="009F326E"/>
    <w:rsid w:val="00A06337"/>
    <w:rsid w:val="00A073ED"/>
    <w:rsid w:val="00A26146"/>
    <w:rsid w:val="00A46894"/>
    <w:rsid w:val="00A471F5"/>
    <w:rsid w:val="00A82566"/>
    <w:rsid w:val="00AA6A1C"/>
    <w:rsid w:val="00AE42E1"/>
    <w:rsid w:val="00B07431"/>
    <w:rsid w:val="00B439BF"/>
    <w:rsid w:val="00B44D53"/>
    <w:rsid w:val="00B52E29"/>
    <w:rsid w:val="00B56195"/>
    <w:rsid w:val="00B61105"/>
    <w:rsid w:val="00B63A5A"/>
    <w:rsid w:val="00B6539B"/>
    <w:rsid w:val="00B8099D"/>
    <w:rsid w:val="00BB603F"/>
    <w:rsid w:val="00BC7AC6"/>
    <w:rsid w:val="00BD152B"/>
    <w:rsid w:val="00BD7536"/>
    <w:rsid w:val="00BE3898"/>
    <w:rsid w:val="00C02C99"/>
    <w:rsid w:val="00C126AF"/>
    <w:rsid w:val="00C21866"/>
    <w:rsid w:val="00C22911"/>
    <w:rsid w:val="00C25CDE"/>
    <w:rsid w:val="00C347EC"/>
    <w:rsid w:val="00C44D82"/>
    <w:rsid w:val="00C926EE"/>
    <w:rsid w:val="00C92A97"/>
    <w:rsid w:val="00CA1B28"/>
    <w:rsid w:val="00CB4EE3"/>
    <w:rsid w:val="00CB5322"/>
    <w:rsid w:val="00CC116A"/>
    <w:rsid w:val="00CE1A53"/>
    <w:rsid w:val="00CE48ED"/>
    <w:rsid w:val="00CF12A8"/>
    <w:rsid w:val="00CF5FE0"/>
    <w:rsid w:val="00D00C1F"/>
    <w:rsid w:val="00D03608"/>
    <w:rsid w:val="00D159A0"/>
    <w:rsid w:val="00D20965"/>
    <w:rsid w:val="00D23469"/>
    <w:rsid w:val="00D27000"/>
    <w:rsid w:val="00D32AC2"/>
    <w:rsid w:val="00D41BF2"/>
    <w:rsid w:val="00D84533"/>
    <w:rsid w:val="00D84A5F"/>
    <w:rsid w:val="00DB3F7D"/>
    <w:rsid w:val="00DB72E1"/>
    <w:rsid w:val="00DE66B6"/>
    <w:rsid w:val="00DF7545"/>
    <w:rsid w:val="00E02586"/>
    <w:rsid w:val="00E14A48"/>
    <w:rsid w:val="00E54C33"/>
    <w:rsid w:val="00E6781F"/>
    <w:rsid w:val="00E81E94"/>
    <w:rsid w:val="00E849BA"/>
    <w:rsid w:val="00E9574B"/>
    <w:rsid w:val="00EB2968"/>
    <w:rsid w:val="00EE1478"/>
    <w:rsid w:val="00F05F6A"/>
    <w:rsid w:val="00F342C0"/>
    <w:rsid w:val="00F40205"/>
    <w:rsid w:val="00F63F21"/>
    <w:rsid w:val="00F77D5B"/>
    <w:rsid w:val="00F91CFC"/>
    <w:rsid w:val="00FA0834"/>
    <w:rsid w:val="00FA3994"/>
    <w:rsid w:val="00FA7F61"/>
    <w:rsid w:val="00FB1CC2"/>
    <w:rsid w:val="00FB5491"/>
    <w:rsid w:val="00FC14FA"/>
    <w:rsid w:val="00FD7EF8"/>
    <w:rsid w:val="00FE61B3"/>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2235B"/>
  <w15:docId w15:val="{2186338E-442B-4270-AE87-623783AD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02"/>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2"/>
    </w:pPr>
    <w:rPr>
      <w:rFonts w:ascii="Cambria" w:eastAsia="Cambria" w:hAnsi="Cambria"/>
      <w:sz w:val="24"/>
      <w:szCs w:val="24"/>
    </w:rPr>
  </w:style>
  <w:style w:type="paragraph" w:styleId="TOC2">
    <w:name w:val="toc 2"/>
    <w:basedOn w:val="Normal"/>
    <w:uiPriority w:val="1"/>
    <w:qFormat/>
    <w:pPr>
      <w:spacing w:before="282"/>
      <w:ind w:left="335" w:hanging="235"/>
    </w:pPr>
    <w:rPr>
      <w:rFonts w:ascii="Cambria" w:eastAsia="Cambria" w:hAnsi="Cambria"/>
      <w:sz w:val="24"/>
      <w:szCs w:val="24"/>
    </w:rPr>
  </w:style>
  <w:style w:type="paragraph" w:styleId="BodyText">
    <w:name w:val="Body Text"/>
    <w:basedOn w:val="Normal"/>
    <w:uiPriority w:val="1"/>
    <w:qFormat/>
    <w:pPr>
      <w:ind w:left="2601"/>
    </w:pPr>
    <w:rPr>
      <w:rFonts w:ascii="Cambria" w:eastAsia="Cambria" w:hAnsi="Cambr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4571"/>
    <w:rPr>
      <w:rFonts w:ascii="Tahoma" w:hAnsi="Tahoma" w:cs="Tahoma"/>
      <w:sz w:val="16"/>
      <w:szCs w:val="16"/>
    </w:rPr>
  </w:style>
  <w:style w:type="character" w:customStyle="1" w:styleId="BalloonTextChar">
    <w:name w:val="Balloon Text Char"/>
    <w:basedOn w:val="DefaultParagraphFont"/>
    <w:link w:val="BalloonText"/>
    <w:uiPriority w:val="99"/>
    <w:semiHidden/>
    <w:rsid w:val="00524571"/>
    <w:rPr>
      <w:rFonts w:ascii="Tahoma" w:hAnsi="Tahoma" w:cs="Tahoma"/>
      <w:sz w:val="16"/>
      <w:szCs w:val="16"/>
    </w:rPr>
  </w:style>
  <w:style w:type="character" w:styleId="CommentReference">
    <w:name w:val="annotation reference"/>
    <w:basedOn w:val="DefaultParagraphFont"/>
    <w:uiPriority w:val="99"/>
    <w:semiHidden/>
    <w:unhideWhenUsed/>
    <w:rsid w:val="00524571"/>
    <w:rPr>
      <w:sz w:val="16"/>
      <w:szCs w:val="16"/>
    </w:rPr>
  </w:style>
  <w:style w:type="paragraph" w:styleId="CommentText">
    <w:name w:val="annotation text"/>
    <w:basedOn w:val="Normal"/>
    <w:link w:val="CommentTextChar"/>
    <w:uiPriority w:val="99"/>
    <w:unhideWhenUsed/>
    <w:rsid w:val="00524571"/>
    <w:rPr>
      <w:sz w:val="20"/>
      <w:szCs w:val="20"/>
    </w:rPr>
  </w:style>
  <w:style w:type="character" w:customStyle="1" w:styleId="CommentTextChar">
    <w:name w:val="Comment Text Char"/>
    <w:basedOn w:val="DefaultParagraphFont"/>
    <w:link w:val="CommentText"/>
    <w:uiPriority w:val="99"/>
    <w:rsid w:val="00524571"/>
    <w:rPr>
      <w:sz w:val="20"/>
      <w:szCs w:val="20"/>
    </w:rPr>
  </w:style>
  <w:style w:type="paragraph" w:styleId="CommentSubject">
    <w:name w:val="annotation subject"/>
    <w:basedOn w:val="CommentText"/>
    <w:next w:val="CommentText"/>
    <w:link w:val="CommentSubjectChar"/>
    <w:uiPriority w:val="99"/>
    <w:semiHidden/>
    <w:unhideWhenUsed/>
    <w:rsid w:val="00524571"/>
    <w:rPr>
      <w:b/>
      <w:bCs/>
    </w:rPr>
  </w:style>
  <w:style w:type="character" w:customStyle="1" w:styleId="CommentSubjectChar">
    <w:name w:val="Comment Subject Char"/>
    <w:basedOn w:val="CommentTextChar"/>
    <w:link w:val="CommentSubject"/>
    <w:uiPriority w:val="99"/>
    <w:semiHidden/>
    <w:rsid w:val="00524571"/>
    <w:rPr>
      <w:b/>
      <w:bCs/>
      <w:sz w:val="20"/>
      <w:szCs w:val="20"/>
    </w:rPr>
  </w:style>
  <w:style w:type="paragraph" w:styleId="Header">
    <w:name w:val="header"/>
    <w:basedOn w:val="Normal"/>
    <w:link w:val="HeaderChar"/>
    <w:uiPriority w:val="99"/>
    <w:unhideWhenUsed/>
    <w:rsid w:val="00863ED9"/>
    <w:pPr>
      <w:tabs>
        <w:tab w:val="center" w:pos="4680"/>
        <w:tab w:val="right" w:pos="9360"/>
      </w:tabs>
    </w:pPr>
  </w:style>
  <w:style w:type="character" w:customStyle="1" w:styleId="HeaderChar">
    <w:name w:val="Header Char"/>
    <w:basedOn w:val="DefaultParagraphFont"/>
    <w:link w:val="Header"/>
    <w:uiPriority w:val="99"/>
    <w:rsid w:val="00863ED9"/>
  </w:style>
  <w:style w:type="paragraph" w:styleId="Footer">
    <w:name w:val="footer"/>
    <w:basedOn w:val="Normal"/>
    <w:link w:val="FooterChar"/>
    <w:uiPriority w:val="99"/>
    <w:unhideWhenUsed/>
    <w:rsid w:val="00863ED9"/>
    <w:pPr>
      <w:tabs>
        <w:tab w:val="center" w:pos="4680"/>
        <w:tab w:val="right" w:pos="9360"/>
      </w:tabs>
    </w:pPr>
  </w:style>
  <w:style w:type="character" w:customStyle="1" w:styleId="FooterChar">
    <w:name w:val="Footer Char"/>
    <w:basedOn w:val="DefaultParagraphFont"/>
    <w:link w:val="Footer"/>
    <w:uiPriority w:val="99"/>
    <w:rsid w:val="00863ED9"/>
  </w:style>
  <w:style w:type="character" w:styleId="Hyperlink">
    <w:name w:val="Hyperlink"/>
    <w:basedOn w:val="DefaultParagraphFont"/>
    <w:uiPriority w:val="99"/>
    <w:unhideWhenUsed/>
    <w:rsid w:val="00FC14FA"/>
    <w:rPr>
      <w:color w:val="0000FF"/>
      <w:u w:val="single"/>
    </w:rPr>
  </w:style>
  <w:style w:type="paragraph" w:styleId="FootnoteText">
    <w:name w:val="footnote text"/>
    <w:basedOn w:val="Normal"/>
    <w:link w:val="FootnoteTextChar"/>
    <w:uiPriority w:val="99"/>
    <w:semiHidden/>
    <w:unhideWhenUsed/>
    <w:rsid w:val="00B44D53"/>
    <w:rPr>
      <w:sz w:val="20"/>
      <w:szCs w:val="20"/>
    </w:rPr>
  </w:style>
  <w:style w:type="character" w:customStyle="1" w:styleId="FootnoteTextChar">
    <w:name w:val="Footnote Text Char"/>
    <w:basedOn w:val="DefaultParagraphFont"/>
    <w:link w:val="FootnoteText"/>
    <w:uiPriority w:val="99"/>
    <w:semiHidden/>
    <w:rsid w:val="00B44D53"/>
    <w:rPr>
      <w:sz w:val="20"/>
      <w:szCs w:val="20"/>
    </w:rPr>
  </w:style>
  <w:style w:type="character" w:styleId="FootnoteReference">
    <w:name w:val="footnote reference"/>
    <w:basedOn w:val="DefaultParagraphFont"/>
    <w:uiPriority w:val="99"/>
    <w:semiHidden/>
    <w:unhideWhenUsed/>
    <w:rsid w:val="00B44D53"/>
    <w:rPr>
      <w:vertAlign w:val="superscript"/>
    </w:rPr>
  </w:style>
  <w:style w:type="character" w:styleId="FollowedHyperlink">
    <w:name w:val="FollowedHyperlink"/>
    <w:basedOn w:val="DefaultParagraphFont"/>
    <w:uiPriority w:val="99"/>
    <w:semiHidden/>
    <w:unhideWhenUsed/>
    <w:rsid w:val="00890FC3"/>
    <w:rPr>
      <w:color w:val="800080" w:themeColor="followedHyperlink"/>
      <w:u w:val="single"/>
    </w:rPr>
  </w:style>
  <w:style w:type="paragraph" w:styleId="TOCHeading">
    <w:name w:val="TOC Heading"/>
    <w:basedOn w:val="Heading1"/>
    <w:next w:val="Normal"/>
    <w:uiPriority w:val="39"/>
    <w:unhideWhenUsed/>
    <w:qFormat/>
    <w:rsid w:val="00206F29"/>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C1B95"/>
    <w:pPr>
      <w:widowControl/>
    </w:pPr>
  </w:style>
  <w:style w:type="paragraph" w:customStyle="1" w:styleId="Default">
    <w:name w:val="Default"/>
    <w:rsid w:val="00506EBA"/>
    <w:pPr>
      <w:widowControl/>
      <w:autoSpaceDE w:val="0"/>
      <w:autoSpaceDN w:val="0"/>
      <w:adjustRightInd w:val="0"/>
    </w:pPr>
    <w:rPr>
      <w:rFonts w:ascii="Times New Roman" w:hAnsi="Times New Roman" w:cs="Times New Roman"/>
      <w:color w:val="000000"/>
      <w:sz w:val="24"/>
      <w:szCs w:val="24"/>
    </w:rPr>
  </w:style>
  <w:style w:type="paragraph" w:customStyle="1" w:styleId="CM3">
    <w:name w:val="CM3"/>
    <w:basedOn w:val="Default"/>
    <w:next w:val="Default"/>
    <w:uiPriority w:val="99"/>
    <w:rsid w:val="00506EBA"/>
    <w:pPr>
      <w:spacing w:line="276" w:lineRule="atLeast"/>
    </w:pPr>
    <w:rPr>
      <w:color w:val="auto"/>
    </w:rPr>
  </w:style>
  <w:style w:type="paragraph" w:customStyle="1" w:styleId="CM8">
    <w:name w:val="CM8"/>
    <w:basedOn w:val="Default"/>
    <w:next w:val="Default"/>
    <w:uiPriority w:val="99"/>
    <w:rsid w:val="00506EB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www.nist.gov/traceability/index.cfm" TargetMode="External"/><Relationship Id="rId39" Type="http://schemas.openxmlformats.org/officeDocument/2006/relationships/header" Target="header6.xml"/><Relationship Id="rId21" Type="http://schemas.openxmlformats.org/officeDocument/2006/relationships/footer" Target="footer3.xml"/><Relationship Id="rId34" Type="http://schemas.openxmlformats.org/officeDocument/2006/relationships/hyperlink" Target="https://www.justice.gov/ncfs/file/786571/download" TargetMode="External"/><Relationship Id="rId42" Type="http://schemas.openxmlformats.org/officeDocument/2006/relationships/hyperlink" Target="http://asb.aafs.org/"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iso.org/iso/home/store/catalogue_i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tm.org/" TargetMode="External"/><Relationship Id="rId32" Type="http://schemas.openxmlformats.org/officeDocument/2006/relationships/hyperlink" Target="http://www.iso.org/iso/home/store/catalogue_ics.htm" TargetMode="Externa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asb.aafs.org" TargetMode="External"/><Relationship Id="rId23" Type="http://schemas.openxmlformats.org/officeDocument/2006/relationships/hyperlink" Target="http://www.ascld-lab.org/" TargetMode="External"/><Relationship Id="rId28" Type="http://schemas.openxmlformats.org/officeDocument/2006/relationships/hyperlink" Target="https://www.nist.gov/sites/default/files/documents/2017/05/09/H-008.pdf"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iso.org/iso/home/store/catalogue_ics.htm"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sb.aafs.org/" TargetMode="External"/><Relationship Id="rId22" Type="http://schemas.openxmlformats.org/officeDocument/2006/relationships/hyperlink" Target="http://www.ascld-lab.org/" TargetMode="External"/><Relationship Id="rId27" Type="http://schemas.openxmlformats.org/officeDocument/2006/relationships/hyperlink" Target="https://www.nist.gov/document/sapmethodvalidation2016-12-21doc" TargetMode="External"/><Relationship Id="rId30" Type="http://schemas.openxmlformats.org/officeDocument/2006/relationships/hyperlink" Target="http://www.iso.org/iso/home/store/catalogue_ics.htm" TargetMode="External"/><Relationship Id="rId35" Type="http://schemas.openxmlformats.org/officeDocument/2006/relationships/hyperlink" Target="http://www.swgtox.org/documents/SWGTOX_Accreditation.pdf" TargetMode="External"/><Relationship Id="rId43" Type="http://schemas.openxmlformats.org/officeDocument/2006/relationships/header" Target="header7.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www.eurachem.org/index.php/publications/guides/terminology-in-analytical-measurement" TargetMode="External"/><Relationship Id="rId33" Type="http://schemas.openxmlformats.org/officeDocument/2006/relationships/hyperlink" Target="http://kcdb.bipm.org/appendixC/" TargetMode="External"/><Relationship Id="rId38" Type="http://schemas.openxmlformats.org/officeDocument/2006/relationships/footer" Target="footer4.xml"/><Relationship Id="rId46" Type="http://schemas.openxmlformats.org/officeDocument/2006/relationships/header" Target="header9.xml"/><Relationship Id="rId20" Type="http://schemas.openxmlformats.org/officeDocument/2006/relationships/header" Target="header3.xml"/><Relationship Id="rId4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iso.org/iso/home/store/catalogue_ics.htm" TargetMode="External"/><Relationship Id="rId2" Type="http://schemas.openxmlformats.org/officeDocument/2006/relationships/hyperlink" Target="http://ilac.org/?ddownload=840" TargetMode="External"/><Relationship Id="rId1" Type="http://schemas.openxmlformats.org/officeDocument/2006/relationships/hyperlink" Target="http://www.bipm.org/en/cipm-mra/" TargetMode="External"/><Relationship Id="rId5" Type="http://schemas.openxmlformats.org/officeDocument/2006/relationships/hyperlink" Target="https://www.nist.gov/document/sapmethodvalidation2016-12-21doc" TargetMode="External"/><Relationship Id="rId4" Type="http://schemas.openxmlformats.org/officeDocument/2006/relationships/hyperlink" Target="http://www.bipm.org/en/publications/guides/vi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7319a4-784f-4438-9274-11b7325244ef">
      <Terms xmlns="http://schemas.microsoft.com/office/infopath/2007/PartnerControls"/>
    </lcf76f155ced4ddcb4097134ff3c332f>
    <TaxCatchAll xmlns="7cba6ff7-a078-4c91-aae5-67cf575649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DA7408CBBC046A32AC30EB1645858" ma:contentTypeVersion="16" ma:contentTypeDescription="Create a new document." ma:contentTypeScope="" ma:versionID="efb9c40965050035822b7e6f9b380f3a">
  <xsd:schema xmlns:xsd="http://www.w3.org/2001/XMLSchema" xmlns:xs="http://www.w3.org/2001/XMLSchema" xmlns:p="http://schemas.microsoft.com/office/2006/metadata/properties" xmlns:ns2="077319a4-784f-4438-9274-11b7325244ef" xmlns:ns3="7cba6ff7-a078-4c91-aae5-67cf5756490f" targetNamespace="http://schemas.microsoft.com/office/2006/metadata/properties" ma:root="true" ma:fieldsID="3655c6f44469562f80d8faa23f7751bf" ns2:_="" ns3:_="">
    <xsd:import namespace="077319a4-784f-4438-9274-11b7325244ef"/>
    <xsd:import namespace="7cba6ff7-a078-4c91-aae5-67cf575649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319a4-784f-4438-9274-11b732524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6808e2-93aa-4730-8c3c-81b19fdc21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a6ff7-a078-4c91-aae5-67cf5756490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b0b6d0-d023-41d3-ad29-4392f2877424}" ma:internalName="TaxCatchAll" ma:showField="CatchAllData" ma:web="7cba6ff7-a078-4c91-aae5-67cf5756490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2EAC-C6AD-4562-B9D0-4D31856DC84E}">
  <ds:schemaRefs>
    <ds:schemaRef ds:uri="http://schemas.microsoft.com/office/2006/metadata/properties"/>
    <ds:schemaRef ds:uri="http://schemas.microsoft.com/office/infopath/2007/PartnerControls"/>
    <ds:schemaRef ds:uri="077319a4-784f-4438-9274-11b7325244ef"/>
    <ds:schemaRef ds:uri="7cba6ff7-a078-4c91-aae5-67cf5756490f"/>
  </ds:schemaRefs>
</ds:datastoreItem>
</file>

<file path=customXml/itemProps2.xml><?xml version="1.0" encoding="utf-8"?>
<ds:datastoreItem xmlns:ds="http://schemas.openxmlformats.org/officeDocument/2006/customXml" ds:itemID="{EB5E748A-0A46-4F2B-A793-9EB00EB90CBB}">
  <ds:schemaRefs>
    <ds:schemaRef ds:uri="http://schemas.microsoft.com/sharepoint/v3/contenttype/forms"/>
  </ds:schemaRefs>
</ds:datastoreItem>
</file>

<file path=customXml/itemProps3.xml><?xml version="1.0" encoding="utf-8"?>
<ds:datastoreItem xmlns:ds="http://schemas.openxmlformats.org/officeDocument/2006/customXml" ds:itemID="{78CAFCAF-DF01-434D-87B5-382CF3A354D2}"/>
</file>

<file path=customXml/itemProps4.xml><?xml version="1.0" encoding="utf-8"?>
<ds:datastoreItem xmlns:ds="http://schemas.openxmlformats.org/officeDocument/2006/customXml" ds:itemID="{B6883F48-F2A9-4BD5-8758-813D70E6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3620</Words>
  <Characters>20638</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Scope</vt:lpstr>
      <vt:lpstr>Normative References</vt:lpstr>
      <vt:lpstr>Terms and Definitions</vt:lpstr>
      <vt:lpstr>General Measurement Traceability</vt:lpstr>
      <vt:lpstr>Measurement Traceability Requirements for Toxicology</vt:lpstr>
      <vt:lpstr>Equipment</vt:lpstr>
      <vt:lpstr>Conformance</vt:lpstr>
      <vt:lpstr>Annex A (informative)</vt:lpstr>
    </vt:vector>
  </TitlesOfParts>
  <Company>Palm Beach County Sheriff's Office</Company>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Yeatman, Dustin T.</dc:creator>
  <cp:lastModifiedBy>Teresa Ambrosius</cp:lastModifiedBy>
  <cp:revision>3</cp:revision>
  <cp:lastPrinted>2018-06-20T13:45:00Z</cp:lastPrinted>
  <dcterms:created xsi:type="dcterms:W3CDTF">2025-01-16T17:56:00Z</dcterms:created>
  <dcterms:modified xsi:type="dcterms:W3CDTF">2025-01-16T17:57:00Z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2016-03-17T00:00:00Z</vt:filetime>
  </property>
  <property fmtid="{D5CDD505-2E9C-101B-9397-08002B2CF9AE}" pid="3" name="LastSaved">
    <vt:filetime>2016-11-28T00:00:00Z</vt:filetime>
  </property>
  <property fmtid="{D5CDD505-2E9C-101B-9397-08002B2CF9AE}" pid="4" name="ContentTypeId">
    <vt:lpwstr>0x010100FC8DA7408CBBC046A32AC30EB1645858</vt:lpwstr>
  </property>
  <property fmtid="{D5CDD505-2E9C-101B-9397-08002B2CF9AE}" pid="5" name="MediaServiceImageTags">
    <vt:lpwstr/>
  </property>
</Properties>
</file>